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5C396" w14:textId="68A43744" w:rsidR="004F165E" w:rsidRPr="003B6B28" w:rsidRDefault="004F165E" w:rsidP="00B70F88">
      <w:pPr>
        <w:jc w:val="center"/>
        <w:outlineLvl w:val="0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B6B28">
        <w:rPr>
          <w:rFonts w:asciiTheme="minorHAnsi" w:eastAsiaTheme="minorEastAsia" w:hAnsiTheme="minorHAnsi" w:cstheme="minorHAnsi"/>
          <w:b/>
          <w:sz w:val="20"/>
          <w:szCs w:val="20"/>
          <w:lang w:eastAsia="pl-PL"/>
        </w:rPr>
        <w:t xml:space="preserve">ZAŁĄCZNIK nr 1 do Uchwały nr </w:t>
      </w:r>
      <w:r w:rsidR="00915FBA">
        <w:rPr>
          <w:rFonts w:asciiTheme="minorHAnsi" w:eastAsiaTheme="minorEastAsia" w:hAnsiTheme="minorHAnsi" w:cstheme="minorHAnsi"/>
          <w:b/>
          <w:sz w:val="20"/>
          <w:szCs w:val="20"/>
          <w:lang w:eastAsia="pl-PL"/>
        </w:rPr>
        <w:t>23/20</w:t>
      </w:r>
      <w:r w:rsidRPr="003B6B28">
        <w:rPr>
          <w:rFonts w:asciiTheme="minorHAnsi" w:eastAsiaTheme="minorEastAsia" w:hAnsiTheme="minorHAnsi" w:cstheme="minorHAnsi"/>
          <w:b/>
          <w:sz w:val="20"/>
          <w:szCs w:val="20"/>
          <w:lang w:eastAsia="pl-PL"/>
        </w:rPr>
        <w:t xml:space="preserve"> KM RPO WZ 2014-2020 z dnia </w:t>
      </w:r>
      <w:r w:rsidR="00915FBA">
        <w:rPr>
          <w:rFonts w:asciiTheme="minorHAnsi" w:eastAsiaTheme="minorEastAsia" w:hAnsiTheme="minorHAnsi" w:cstheme="minorHAnsi"/>
          <w:b/>
          <w:sz w:val="20"/>
          <w:szCs w:val="20"/>
          <w:lang w:eastAsia="pl-PL"/>
        </w:rPr>
        <w:t>17 czerwca</w:t>
      </w:r>
      <w:r w:rsidRPr="003B6B28">
        <w:rPr>
          <w:rFonts w:asciiTheme="minorHAnsi" w:eastAsiaTheme="minorEastAsia" w:hAnsiTheme="minorHAnsi" w:cstheme="minorHAnsi"/>
          <w:b/>
          <w:sz w:val="20"/>
          <w:szCs w:val="20"/>
          <w:lang w:eastAsia="pl-PL"/>
        </w:rPr>
        <w:t xml:space="preserve"> 2020 r.</w:t>
      </w:r>
      <w:r w:rsidRPr="003B6B28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</w:p>
    <w:p w14:paraId="3CFD4927" w14:textId="52CB3243" w:rsidR="004F165E" w:rsidRPr="00D256AE" w:rsidRDefault="004F165E" w:rsidP="00B70F88">
      <w:pPr>
        <w:jc w:val="center"/>
        <w:outlineLvl w:val="0"/>
        <w:rPr>
          <w:rFonts w:asciiTheme="minorHAnsi" w:eastAsiaTheme="minorEastAsia" w:hAnsiTheme="minorHAnsi" w:cstheme="minorHAnsi"/>
          <w:b/>
          <w:sz w:val="20"/>
          <w:szCs w:val="20"/>
          <w:lang w:eastAsia="pl-PL"/>
        </w:rPr>
      </w:pPr>
      <w:r w:rsidRPr="00D256AE">
        <w:rPr>
          <w:rFonts w:asciiTheme="minorHAnsi" w:eastAsiaTheme="minorEastAsia" w:hAnsiTheme="minorHAnsi" w:cstheme="minorHAnsi"/>
          <w:b/>
          <w:sz w:val="20"/>
          <w:szCs w:val="20"/>
          <w:lang w:eastAsia="pl-PL"/>
        </w:rPr>
        <w:t xml:space="preserve">w sprawie przyjęcia kryteriów wyboru projektów w ramach działania </w:t>
      </w:r>
      <w:bookmarkStart w:id="0" w:name="_Toc516645433"/>
      <w:bookmarkStart w:id="1" w:name="_Toc535327847"/>
      <w:r w:rsidR="001B7525" w:rsidRPr="00D256AE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1.1</w:t>
      </w:r>
      <w:bookmarkEnd w:id="0"/>
      <w:bookmarkEnd w:id="1"/>
      <w:r w:rsidR="00D256AE" w:rsidRPr="00D256AE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9 </w:t>
      </w:r>
      <w:r w:rsidR="00D256AE" w:rsidRPr="00D256AE">
        <w:rPr>
          <w:rFonts w:eastAsia="Times New Roman" w:cs="Arial"/>
          <w:b/>
          <w:sz w:val="20"/>
          <w:szCs w:val="20"/>
        </w:rPr>
        <w:t xml:space="preserve">Wsparcie mikro i małych przedsiębiorstw </w:t>
      </w:r>
      <w:r w:rsidR="00D256AE" w:rsidRPr="00D256AE">
        <w:rPr>
          <w:rFonts w:eastAsia="Times New Roman" w:cstheme="minorHAnsi"/>
          <w:b/>
          <w:sz w:val="20"/>
          <w:szCs w:val="20"/>
          <w:lang w:eastAsia="pl-PL"/>
        </w:rPr>
        <w:t>w walce ze skutkami epidemii COVID-19</w:t>
      </w:r>
    </w:p>
    <w:p w14:paraId="5BEC3A27" w14:textId="77777777" w:rsidR="00AD7354" w:rsidRPr="003B6B28" w:rsidRDefault="00AD7354" w:rsidP="00AD7354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sz w:val="20"/>
          <w:szCs w:val="20"/>
        </w:rPr>
      </w:pPr>
    </w:p>
    <w:tbl>
      <w:tblPr>
        <w:tblStyle w:val="Tabela-Siatka11"/>
        <w:tblW w:w="1482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06"/>
        <w:gridCol w:w="12315"/>
      </w:tblGrid>
      <w:tr w:rsidR="00AD7354" w:rsidRPr="0087355F" w14:paraId="25EF0728" w14:textId="77777777" w:rsidTr="00E21CC2">
        <w:tc>
          <w:tcPr>
            <w:tcW w:w="2506" w:type="dxa"/>
            <w:shd w:val="clear" w:color="auto" w:fill="B6DDE8" w:themeFill="accent5" w:themeFillTint="66"/>
          </w:tcPr>
          <w:p w14:paraId="107FD3F8" w14:textId="77777777" w:rsidR="00AD7354" w:rsidRPr="0087355F" w:rsidRDefault="00AD7354" w:rsidP="00AD7354">
            <w:pPr>
              <w:spacing w:before="40" w:after="4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Oś priorytetowa</w:t>
            </w:r>
          </w:p>
        </w:tc>
        <w:tc>
          <w:tcPr>
            <w:tcW w:w="12315" w:type="dxa"/>
            <w:shd w:val="clear" w:color="auto" w:fill="B6DDE8" w:themeFill="accent5" w:themeFillTint="66"/>
          </w:tcPr>
          <w:p w14:paraId="12F396DB" w14:textId="77777777" w:rsidR="00AD7354" w:rsidRPr="0087355F" w:rsidRDefault="00AD7354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I Gospodarka, Innowacje, Nowoczesne Technologie</w:t>
            </w:r>
          </w:p>
        </w:tc>
      </w:tr>
      <w:tr w:rsidR="00AD7354" w:rsidRPr="0087355F" w14:paraId="43C9AC70" w14:textId="77777777" w:rsidTr="00E21CC2">
        <w:tc>
          <w:tcPr>
            <w:tcW w:w="2506" w:type="dxa"/>
            <w:shd w:val="clear" w:color="auto" w:fill="B6DDE8" w:themeFill="accent5" w:themeFillTint="66"/>
          </w:tcPr>
          <w:p w14:paraId="5DF25AD4" w14:textId="77777777" w:rsidR="00AD7354" w:rsidRPr="0087355F" w:rsidRDefault="00AD7354" w:rsidP="00AD7354">
            <w:pPr>
              <w:spacing w:before="40" w:after="4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Priorytet Inwestycyjny</w:t>
            </w:r>
          </w:p>
        </w:tc>
        <w:tc>
          <w:tcPr>
            <w:tcW w:w="12315" w:type="dxa"/>
            <w:shd w:val="clear" w:color="auto" w:fill="B6DDE8" w:themeFill="accent5" w:themeFillTint="66"/>
          </w:tcPr>
          <w:p w14:paraId="68F2C057" w14:textId="646B4917" w:rsidR="00AD7354" w:rsidRPr="0087355F" w:rsidRDefault="008E5133" w:rsidP="00FA02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FA0296" w:rsidRPr="0087355F">
              <w:rPr>
                <w:rFonts w:cstheme="minorHAnsi"/>
                <w:sz w:val="20"/>
                <w:szCs w:val="20"/>
              </w:rPr>
              <w:t>c</w:t>
            </w:r>
          </w:p>
        </w:tc>
      </w:tr>
      <w:tr w:rsidR="00AD7354" w:rsidRPr="0087355F" w14:paraId="4B8A1529" w14:textId="77777777" w:rsidTr="00E21CC2">
        <w:tc>
          <w:tcPr>
            <w:tcW w:w="2506" w:type="dxa"/>
            <w:shd w:val="clear" w:color="auto" w:fill="B6DDE8" w:themeFill="accent5" w:themeFillTint="66"/>
          </w:tcPr>
          <w:p w14:paraId="2AE90E92" w14:textId="77777777" w:rsidR="00AD7354" w:rsidRPr="0087355F" w:rsidRDefault="00AD7354" w:rsidP="00AD7354">
            <w:pPr>
              <w:spacing w:before="40" w:after="4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Działanie</w:t>
            </w:r>
          </w:p>
        </w:tc>
        <w:tc>
          <w:tcPr>
            <w:tcW w:w="12315" w:type="dxa"/>
            <w:shd w:val="clear" w:color="auto" w:fill="B6DDE8" w:themeFill="accent5" w:themeFillTint="66"/>
          </w:tcPr>
          <w:p w14:paraId="49E0AE43" w14:textId="286B382F" w:rsidR="00AD7354" w:rsidRPr="0087355F" w:rsidRDefault="00075FFD" w:rsidP="00FA02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eastAsia="Times New Roman" w:cstheme="minorHAnsi"/>
                <w:sz w:val="20"/>
                <w:szCs w:val="20"/>
                <w:lang w:eastAsia="pl-PL"/>
              </w:rPr>
              <w:t>1.1</w:t>
            </w:r>
            <w:r w:rsidR="00FA0296" w:rsidRPr="0087355F"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  <w:r w:rsidRPr="0087355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  <w:r w:rsidR="00FA0296" w:rsidRPr="0087355F">
              <w:rPr>
                <w:rFonts w:eastAsia="Times New Roman" w:cs="Arial"/>
                <w:sz w:val="20"/>
                <w:szCs w:val="20"/>
              </w:rPr>
              <w:t xml:space="preserve">Wsparcie mikro i małych przedsiębiorstw </w:t>
            </w:r>
            <w:r w:rsidR="00FA0296" w:rsidRPr="0087355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walce ze skutkami epidemii COVID-19 </w:t>
            </w:r>
          </w:p>
        </w:tc>
      </w:tr>
      <w:tr w:rsidR="00AD7354" w:rsidRPr="0087355F" w14:paraId="1344B0EB" w14:textId="77777777" w:rsidTr="00E21CC2">
        <w:tc>
          <w:tcPr>
            <w:tcW w:w="2506" w:type="dxa"/>
            <w:shd w:val="clear" w:color="auto" w:fill="B6DDE8" w:themeFill="accent5" w:themeFillTint="66"/>
          </w:tcPr>
          <w:p w14:paraId="0B5A910D" w14:textId="77777777" w:rsidR="00AD7354" w:rsidRPr="0087355F" w:rsidRDefault="00AD7354" w:rsidP="00AD7354">
            <w:pPr>
              <w:spacing w:before="40" w:after="4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Typ projektu</w:t>
            </w:r>
          </w:p>
        </w:tc>
        <w:tc>
          <w:tcPr>
            <w:tcW w:w="12315" w:type="dxa"/>
            <w:shd w:val="clear" w:color="auto" w:fill="B6DDE8" w:themeFill="accent5" w:themeFillTint="66"/>
          </w:tcPr>
          <w:p w14:paraId="2C7B5A51" w14:textId="505BB97B" w:rsidR="00AD7354" w:rsidRPr="0087355F" w:rsidRDefault="00FA0296" w:rsidP="004F165E">
            <w:pPr>
              <w:spacing w:before="40" w:after="4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eastAsia="Times New Roman" w:cs="Arial"/>
                <w:sz w:val="20"/>
                <w:szCs w:val="20"/>
              </w:rPr>
              <w:t>Granty na kapitał obrotowy</w:t>
            </w:r>
            <w:r w:rsidRPr="0087355F">
              <w:rPr>
                <w:rStyle w:val="Odwoanieprzypisudolnego"/>
                <w:rFonts w:eastAsia="Times New Roman"/>
                <w:sz w:val="20"/>
                <w:szCs w:val="20"/>
              </w:rPr>
              <w:footnoteReference w:id="1"/>
            </w:r>
            <w:r w:rsidRPr="0087355F">
              <w:rPr>
                <w:rFonts w:eastAsia="Times New Roman" w:cs="Arial"/>
                <w:sz w:val="20"/>
                <w:szCs w:val="20"/>
              </w:rPr>
              <w:t xml:space="preserve">   dla mikro i małych przedsiębiorstw</w:t>
            </w:r>
            <w:r w:rsidR="00B22D01" w:rsidRPr="0087355F">
              <w:rPr>
                <w:rFonts w:eastAsia="Times New Roman" w:cs="Arial"/>
                <w:sz w:val="20"/>
                <w:szCs w:val="20"/>
              </w:rPr>
              <w:t xml:space="preserve"> zmagających się ze skutkami epidemii COVID-19</w:t>
            </w:r>
          </w:p>
        </w:tc>
      </w:tr>
    </w:tbl>
    <w:p w14:paraId="4D43D288" w14:textId="77777777" w:rsidR="00AD7354" w:rsidRPr="003B6B28" w:rsidRDefault="00AD7354" w:rsidP="00AD7354">
      <w:pPr>
        <w:spacing w:before="120" w:after="120" w:line="240" w:lineRule="auto"/>
        <w:rPr>
          <w:rFonts w:asciiTheme="minorHAnsi" w:eastAsiaTheme="minorHAnsi" w:hAnsiTheme="minorHAnsi" w:cstheme="minorHAnsi"/>
          <w:sz w:val="20"/>
          <w:szCs w:val="20"/>
        </w:rPr>
      </w:pPr>
    </w:p>
    <w:tbl>
      <w:tblPr>
        <w:tblStyle w:val="Tabela-Siatka2"/>
        <w:tblW w:w="5211" w:type="pct"/>
        <w:tblInd w:w="-601" w:type="dxa"/>
        <w:tblLook w:val="04A0" w:firstRow="1" w:lastRow="0" w:firstColumn="1" w:lastColumn="0" w:noHBand="0" w:noVBand="1"/>
      </w:tblPr>
      <w:tblGrid>
        <w:gridCol w:w="708"/>
        <w:gridCol w:w="2410"/>
        <w:gridCol w:w="8649"/>
        <w:gridCol w:w="3053"/>
      </w:tblGrid>
      <w:tr w:rsidR="00AD7354" w:rsidRPr="0087355F" w14:paraId="4D0CAC63" w14:textId="77777777" w:rsidTr="00E21CC2">
        <w:trPr>
          <w:trHeight w:val="236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3DF076DC" w14:textId="77777777" w:rsidR="00AD7354" w:rsidRPr="0087355F" w:rsidRDefault="00AD7354" w:rsidP="00AD735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87355F">
              <w:rPr>
                <w:rFonts w:cstheme="minorHAnsi"/>
                <w:b/>
                <w:sz w:val="20"/>
                <w:szCs w:val="20"/>
              </w:rPr>
              <w:t xml:space="preserve">Kryteria dopuszczalności </w:t>
            </w:r>
          </w:p>
        </w:tc>
      </w:tr>
      <w:tr w:rsidR="00AD7354" w:rsidRPr="0087355F" w14:paraId="42BE1DBE" w14:textId="77777777" w:rsidTr="00E21CC2">
        <w:trPr>
          <w:trHeight w:val="236"/>
          <w:tblHeader/>
        </w:trPr>
        <w:tc>
          <w:tcPr>
            <w:tcW w:w="239" w:type="pct"/>
          </w:tcPr>
          <w:p w14:paraId="7A3E4354" w14:textId="77777777" w:rsidR="00AD7354" w:rsidRPr="0087355F" w:rsidRDefault="00AD7354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813" w:type="pct"/>
          </w:tcPr>
          <w:p w14:paraId="41A9E6E6" w14:textId="77777777" w:rsidR="00AD7354" w:rsidRPr="0087355F" w:rsidRDefault="00AD7354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Nazwa kryterium</w:t>
            </w:r>
          </w:p>
        </w:tc>
        <w:tc>
          <w:tcPr>
            <w:tcW w:w="2918" w:type="pct"/>
          </w:tcPr>
          <w:p w14:paraId="2E0BE949" w14:textId="77777777" w:rsidR="00AD7354" w:rsidRPr="0087355F" w:rsidRDefault="00AD7354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Definicja kryterium</w:t>
            </w:r>
          </w:p>
        </w:tc>
        <w:tc>
          <w:tcPr>
            <w:tcW w:w="1030" w:type="pct"/>
          </w:tcPr>
          <w:p w14:paraId="1A01664B" w14:textId="77777777" w:rsidR="00AD7354" w:rsidRPr="0087355F" w:rsidRDefault="00AD7354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Opis znaczenia kryterium</w:t>
            </w:r>
          </w:p>
        </w:tc>
      </w:tr>
      <w:tr w:rsidR="00AD7354" w:rsidRPr="0087355F" w14:paraId="5E6EE10A" w14:textId="77777777" w:rsidTr="00E21CC2">
        <w:trPr>
          <w:trHeight w:val="253"/>
          <w:tblHeader/>
        </w:trPr>
        <w:tc>
          <w:tcPr>
            <w:tcW w:w="239" w:type="pct"/>
            <w:tcBorders>
              <w:bottom w:val="single" w:sz="4" w:space="0" w:color="auto"/>
            </w:tcBorders>
          </w:tcPr>
          <w:p w14:paraId="1287DB57" w14:textId="77777777" w:rsidR="00AD7354" w:rsidRPr="0087355F" w:rsidRDefault="00AD7354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13" w:type="pct"/>
            <w:tcBorders>
              <w:bottom w:val="single" w:sz="4" w:space="0" w:color="auto"/>
            </w:tcBorders>
          </w:tcPr>
          <w:p w14:paraId="00F65FDE" w14:textId="77777777" w:rsidR="00AD7354" w:rsidRPr="0087355F" w:rsidRDefault="00AD7354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918" w:type="pct"/>
            <w:tcBorders>
              <w:bottom w:val="single" w:sz="4" w:space="0" w:color="auto"/>
            </w:tcBorders>
          </w:tcPr>
          <w:p w14:paraId="06C8712A" w14:textId="77777777" w:rsidR="00AD7354" w:rsidRPr="0087355F" w:rsidRDefault="00AD7354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30" w:type="pct"/>
            <w:tcBorders>
              <w:bottom w:val="single" w:sz="4" w:space="0" w:color="auto"/>
            </w:tcBorders>
          </w:tcPr>
          <w:p w14:paraId="52A9FD7F" w14:textId="77777777" w:rsidR="00AD7354" w:rsidRPr="0087355F" w:rsidRDefault="00AD7354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AD7354" w:rsidRPr="0087355F" w14:paraId="58CEF4BB" w14:textId="77777777" w:rsidTr="00B22F9D">
        <w:trPr>
          <w:trHeight w:val="492"/>
        </w:trPr>
        <w:tc>
          <w:tcPr>
            <w:tcW w:w="239" w:type="pct"/>
            <w:shd w:val="clear" w:color="auto" w:fill="FFFFFF" w:themeFill="background1"/>
          </w:tcPr>
          <w:p w14:paraId="5EBC345E" w14:textId="77777777" w:rsidR="00AD7354" w:rsidRPr="0087355F" w:rsidRDefault="00AD7354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1.1</w:t>
            </w:r>
          </w:p>
        </w:tc>
        <w:tc>
          <w:tcPr>
            <w:tcW w:w="813" w:type="pct"/>
            <w:shd w:val="clear" w:color="auto" w:fill="FFFFFF" w:themeFill="background1"/>
          </w:tcPr>
          <w:p w14:paraId="0CACC987" w14:textId="06264736" w:rsidR="00FA0296" w:rsidRPr="0087355F" w:rsidRDefault="00FA0296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Kwalifikowalność projektu</w:t>
            </w:r>
          </w:p>
          <w:p w14:paraId="53B3AFE9" w14:textId="77777777" w:rsidR="00FA0296" w:rsidRPr="0087355F" w:rsidRDefault="00FA0296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7531DE06" w14:textId="1CE678AF" w:rsidR="00AD7354" w:rsidRPr="0087355F" w:rsidRDefault="00AD7354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18" w:type="pct"/>
            <w:shd w:val="clear" w:color="auto" w:fill="FFFFFF" w:themeFill="background1"/>
          </w:tcPr>
          <w:p w14:paraId="2F44943F" w14:textId="77777777" w:rsidR="00B22F9D" w:rsidRPr="00B22F9D" w:rsidRDefault="00FA0296" w:rsidP="00B22F9D">
            <w:pPr>
              <w:pStyle w:val="Akapitzlist"/>
              <w:numPr>
                <w:ilvl w:val="0"/>
                <w:numId w:val="40"/>
              </w:numPr>
              <w:spacing w:after="40"/>
              <w:rPr>
                <w:rFonts w:eastAsia="Times New Roman"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Projekt jest zgodny z</w:t>
            </w:r>
            <w:r w:rsidR="007B6184">
              <w:rPr>
                <w:rFonts w:cstheme="minorHAnsi"/>
                <w:sz w:val="20"/>
                <w:szCs w:val="20"/>
              </w:rPr>
              <w:t xml:space="preserve"> celem działania 1.19 przewidzianym w SOOP</w:t>
            </w:r>
            <w:r w:rsidR="00E714EB">
              <w:rPr>
                <w:rFonts w:cstheme="minorHAnsi"/>
                <w:sz w:val="20"/>
                <w:szCs w:val="20"/>
              </w:rPr>
              <w:t xml:space="preserve"> RPOWZ 2014-2020 </w:t>
            </w:r>
            <w:r w:rsidR="007B6184">
              <w:rPr>
                <w:rFonts w:cstheme="minorHAnsi"/>
                <w:sz w:val="20"/>
                <w:szCs w:val="20"/>
              </w:rPr>
              <w:t xml:space="preserve"> oraz wpisuje się w  typ projektu </w:t>
            </w:r>
            <w:r w:rsidR="00B22D01" w:rsidRPr="0087355F">
              <w:rPr>
                <w:rFonts w:cstheme="minorHAnsi"/>
                <w:sz w:val="20"/>
                <w:szCs w:val="20"/>
              </w:rPr>
              <w:t xml:space="preserve">„Granty na kapitał obrotowy dla mikro i małych przedsiębiorstw zmagających się ze skutkami epidemii COVID – 19” </w:t>
            </w:r>
          </w:p>
          <w:p w14:paraId="6D9A3DBB" w14:textId="77777777" w:rsidR="00B22F9D" w:rsidRDefault="00B22D01" w:rsidP="00B22F9D">
            <w:pPr>
              <w:pStyle w:val="Akapitzlist"/>
              <w:numPr>
                <w:ilvl w:val="0"/>
                <w:numId w:val="40"/>
              </w:numPr>
              <w:spacing w:after="40"/>
              <w:rPr>
                <w:rFonts w:eastAsia="Times New Roman" w:cstheme="minorHAnsi"/>
                <w:sz w:val="20"/>
                <w:szCs w:val="20"/>
              </w:rPr>
            </w:pPr>
            <w:r w:rsidRPr="00B22F9D">
              <w:rPr>
                <w:rFonts w:eastAsia="Times New Roman" w:cstheme="minorHAnsi"/>
                <w:sz w:val="20"/>
                <w:szCs w:val="20"/>
              </w:rPr>
              <w:t>Projekt jest zgodny z założeniami określonymi w regulaminie naboru</w:t>
            </w:r>
            <w:r w:rsidR="0049253A" w:rsidRPr="00B22F9D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14:paraId="198EC412" w14:textId="513F167C" w:rsidR="00B22D01" w:rsidRPr="00B22F9D" w:rsidRDefault="00B22F9D" w:rsidP="00B22F9D">
            <w:pPr>
              <w:pStyle w:val="Akapitzlist"/>
              <w:numPr>
                <w:ilvl w:val="0"/>
                <w:numId w:val="40"/>
              </w:numPr>
              <w:spacing w:after="40"/>
              <w:rPr>
                <w:rFonts w:eastAsia="Times New Roman" w:cstheme="minorHAnsi"/>
                <w:sz w:val="20"/>
                <w:szCs w:val="20"/>
              </w:rPr>
            </w:pPr>
            <w:r w:rsidRPr="00B22F9D">
              <w:rPr>
                <w:rFonts w:eastAsia="Times New Roman" w:cstheme="minorHAnsi"/>
                <w:sz w:val="20"/>
                <w:szCs w:val="20"/>
              </w:rPr>
              <w:t>P</w:t>
            </w:r>
            <w:r w:rsidR="00FA0296" w:rsidRPr="00B22F9D">
              <w:rPr>
                <w:rFonts w:eastAsia="Times New Roman" w:cstheme="minorHAnsi"/>
                <w:sz w:val="20"/>
                <w:szCs w:val="20"/>
              </w:rPr>
              <w:t>rojekt jest zgodny z przepisami art. 65 ust. 6 i art. 125 ust. 3 lit. e) i f) Rozporządzenia Parlamentu Europejskiego i Rady (UE) nr 1303/2013</w:t>
            </w:r>
            <w:bookmarkStart w:id="2" w:name="_GoBack"/>
            <w:bookmarkEnd w:id="2"/>
            <w:r w:rsidR="00FA0296" w:rsidRPr="00B22F9D">
              <w:rPr>
                <w:rFonts w:eastAsia="Times New Roman" w:cstheme="minorHAnsi"/>
                <w:sz w:val="20"/>
                <w:szCs w:val="20"/>
              </w:rPr>
              <w:t xml:space="preserve"> z dn. 17 grudnia 2013 r. tj. </w:t>
            </w:r>
          </w:p>
          <w:p w14:paraId="1504A867" w14:textId="0BD10D85" w:rsidR="00FA0296" w:rsidRPr="00FA0296" w:rsidRDefault="00FA0296" w:rsidP="00FA0296">
            <w:pPr>
              <w:numPr>
                <w:ilvl w:val="0"/>
                <w:numId w:val="39"/>
              </w:numPr>
              <w:spacing w:after="40"/>
              <w:ind w:left="742" w:hanging="284"/>
              <w:rPr>
                <w:rFonts w:eastAsia="Times New Roman" w:cstheme="minorHAnsi"/>
                <w:sz w:val="20"/>
                <w:szCs w:val="20"/>
              </w:rPr>
            </w:pPr>
            <w:r w:rsidRPr="00FA0296">
              <w:rPr>
                <w:rFonts w:eastAsia="Times New Roman" w:cstheme="minorHAnsi"/>
                <w:sz w:val="20"/>
                <w:szCs w:val="20"/>
              </w:rPr>
              <w:t xml:space="preserve">nie został zakończony w rozumieniu art. 65 ust. 6, </w:t>
            </w:r>
          </w:p>
          <w:p w14:paraId="7D9D97BC" w14:textId="77777777" w:rsidR="00B22F9D" w:rsidRDefault="00FA0296" w:rsidP="00B22F9D">
            <w:pPr>
              <w:numPr>
                <w:ilvl w:val="0"/>
                <w:numId w:val="39"/>
              </w:numPr>
              <w:spacing w:after="40"/>
              <w:ind w:left="742" w:hanging="284"/>
              <w:rPr>
                <w:rFonts w:eastAsia="Times New Roman" w:cstheme="minorHAnsi"/>
                <w:sz w:val="20"/>
                <w:szCs w:val="20"/>
              </w:rPr>
            </w:pPr>
            <w:r w:rsidRPr="00FA0296">
              <w:rPr>
                <w:rFonts w:eastAsia="Times New Roman" w:cstheme="minorHAnsi"/>
                <w:sz w:val="20"/>
                <w:szCs w:val="20"/>
              </w:rPr>
              <w:t>nie obejmuje przedsięwzięć będących częścią operacji, które zostały objęte lub powinny były zostać objęte procedurą odzyskiwania zgodnie z art. 71 (trwałość operacji) w następstwie przeniesienia działalności produkcyjnej poza obszar objęty programem,</w:t>
            </w:r>
          </w:p>
          <w:p w14:paraId="6DF1D905" w14:textId="570F2C30" w:rsidR="00FA0296" w:rsidRPr="00B22F9D" w:rsidRDefault="00B22F9D" w:rsidP="00B22F9D">
            <w:pPr>
              <w:pStyle w:val="Akapitzlist"/>
              <w:numPr>
                <w:ilvl w:val="0"/>
                <w:numId w:val="40"/>
              </w:numPr>
              <w:spacing w:after="4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</w:t>
            </w:r>
            <w:r w:rsidR="00FA0296" w:rsidRPr="00B22F9D">
              <w:rPr>
                <w:rFonts w:eastAsia="Times New Roman" w:cstheme="minorHAnsi"/>
                <w:sz w:val="20"/>
                <w:szCs w:val="20"/>
              </w:rPr>
              <w:t>rojekt (lub jego część) nie otrzymał dofinansowania z innych środków publicznych.</w:t>
            </w:r>
          </w:p>
          <w:p w14:paraId="263A4B42" w14:textId="77777777" w:rsidR="00B22F9D" w:rsidRDefault="00B22D01" w:rsidP="00B22F9D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Przedmiot projektu nie dotyczy rodzajów działalności wykluczonych z możliwości uzyskania wsparcia w ramach działania 1.19 zgodnie z właściwymi aktami normatywnymi, wymienionymi w Regulaminie naboru.</w:t>
            </w:r>
          </w:p>
          <w:p w14:paraId="5115862F" w14:textId="26579869" w:rsidR="00BB529B" w:rsidRPr="00B22F9D" w:rsidRDefault="00BB529B" w:rsidP="00F02D9B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2F9D">
              <w:rPr>
                <w:rFonts w:cstheme="minorHAnsi"/>
                <w:sz w:val="20"/>
                <w:szCs w:val="20"/>
              </w:rPr>
              <w:t>Granty w ramach projektu będą dostępne dla mikro, małych przedsiębiorstw</w:t>
            </w:r>
            <w:r w:rsidR="00EF19F3" w:rsidRPr="00B22F9D">
              <w:rPr>
                <w:rFonts w:cstheme="minorHAnsi"/>
                <w:sz w:val="20"/>
                <w:szCs w:val="20"/>
              </w:rPr>
              <w:t xml:space="preserve"> </w:t>
            </w:r>
            <w:r w:rsidR="00E714EB" w:rsidRPr="00B22F9D">
              <w:rPr>
                <w:rFonts w:cstheme="minorHAnsi"/>
                <w:sz w:val="20"/>
                <w:szCs w:val="20"/>
              </w:rPr>
              <w:t xml:space="preserve">prowadzących </w:t>
            </w:r>
            <w:r w:rsidR="00E714EB" w:rsidRPr="00B22F9D">
              <w:rPr>
                <w:rFonts w:cstheme="minorHAnsi"/>
                <w:sz w:val="20"/>
                <w:szCs w:val="20"/>
              </w:rPr>
              <w:lastRenderedPageBreak/>
              <w:t>działalność gospodarczą na terenie wo</w:t>
            </w:r>
            <w:r w:rsidR="00F02D9B">
              <w:rPr>
                <w:rFonts w:cstheme="minorHAnsi"/>
                <w:sz w:val="20"/>
                <w:szCs w:val="20"/>
              </w:rPr>
              <w:t xml:space="preserve">jewództwa zachodniopomorskiego: </w:t>
            </w:r>
            <w:r w:rsidR="00F02D9B" w:rsidRPr="00F02D9B">
              <w:rPr>
                <w:rFonts w:cstheme="minorHAnsi"/>
                <w:sz w:val="20"/>
                <w:szCs w:val="20"/>
              </w:rPr>
              <w:t>posiadających stałe miejsce wykonywania działalności gospodarczej na terenie województwa zachodniopomorskiego lub siedzibę na terenie województwa zachodniopomorskiego</w:t>
            </w:r>
            <w:r w:rsidR="00F02D9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030" w:type="pct"/>
            <w:shd w:val="clear" w:color="auto" w:fill="FFFFFF" w:themeFill="background1"/>
          </w:tcPr>
          <w:p w14:paraId="41C99CBB" w14:textId="77777777" w:rsidR="00AD7354" w:rsidRPr="0087355F" w:rsidRDefault="00AD7354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14:paraId="77DD6750" w14:textId="77777777" w:rsidR="00DF6B2C" w:rsidRPr="0087355F" w:rsidRDefault="00DF6B2C" w:rsidP="00DF6B2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Projekty niespełniające kryterium są odrzucane.</w:t>
            </w:r>
          </w:p>
          <w:p w14:paraId="6E8E7BBC" w14:textId="77777777" w:rsidR="00931990" w:rsidRPr="0087355F" w:rsidRDefault="00931990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3CCC78A9" w14:textId="77777777" w:rsidR="00AD7354" w:rsidRDefault="00AD7354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5D8D6BE8" w14:textId="77777777" w:rsidR="00B22F9D" w:rsidRDefault="00B22F9D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6B2DD846" w14:textId="0B3DD127" w:rsidR="00B22F9D" w:rsidRPr="0087355F" w:rsidRDefault="00B22F9D" w:rsidP="00AD73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Istnieje możliwość uzupełnienia lub poprawienia wniosku o dofinansowanie w ramach tego kryterium, zgodnie z procedurą i w zakresie uregulowanym w regulaminie konkursu/naboru.</w:t>
            </w:r>
          </w:p>
        </w:tc>
      </w:tr>
      <w:tr w:rsidR="002736D2" w:rsidRPr="0087355F" w14:paraId="6B07988D" w14:textId="77777777" w:rsidTr="00E30448">
        <w:trPr>
          <w:trHeight w:val="1376"/>
        </w:trPr>
        <w:tc>
          <w:tcPr>
            <w:tcW w:w="239" w:type="pct"/>
          </w:tcPr>
          <w:p w14:paraId="5D414D9D" w14:textId="4AF8719A" w:rsidR="002736D2" w:rsidRPr="0087355F" w:rsidRDefault="00B22F9D" w:rsidP="00542392">
            <w:pPr>
              <w:spacing w:before="40" w:after="4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1.2</w:t>
            </w:r>
          </w:p>
        </w:tc>
        <w:tc>
          <w:tcPr>
            <w:tcW w:w="813" w:type="pct"/>
          </w:tcPr>
          <w:p w14:paraId="2D4B6411" w14:textId="32C287D8" w:rsidR="002736D2" w:rsidRPr="0087355F" w:rsidRDefault="002736D2" w:rsidP="00E714E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Kwalifikowalność Wnioskodawcy</w:t>
            </w:r>
            <w:r w:rsidR="00E714EB">
              <w:rPr>
                <w:rFonts w:cstheme="minorHAnsi"/>
                <w:sz w:val="20"/>
                <w:szCs w:val="20"/>
              </w:rPr>
              <w:t>/ Beneficjenta</w:t>
            </w:r>
            <w:r w:rsidR="00B22F9D">
              <w:rPr>
                <w:rFonts w:cstheme="minorHAnsi"/>
                <w:sz w:val="20"/>
                <w:szCs w:val="20"/>
              </w:rPr>
              <w:t xml:space="preserve"> </w:t>
            </w:r>
            <w:r w:rsidR="00E714EB">
              <w:rPr>
                <w:rFonts w:cstheme="minorHAnsi"/>
                <w:sz w:val="20"/>
                <w:szCs w:val="20"/>
              </w:rPr>
              <w:t>projektu grantowego</w:t>
            </w:r>
          </w:p>
        </w:tc>
        <w:tc>
          <w:tcPr>
            <w:tcW w:w="2918" w:type="pct"/>
          </w:tcPr>
          <w:p w14:paraId="49BCDADE" w14:textId="05A342E4" w:rsidR="00E714EB" w:rsidRDefault="00E714EB" w:rsidP="0049253A">
            <w:pPr>
              <w:pStyle w:val="Akapitzlist"/>
              <w:spacing w:after="80"/>
              <w:ind w:left="3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21AC576" w14:textId="77777777" w:rsidR="00B22F9D" w:rsidRPr="00B22F9D" w:rsidRDefault="00B22F9D" w:rsidP="00B22F9D">
            <w:pPr>
              <w:pStyle w:val="Akapitzlist"/>
              <w:numPr>
                <w:ilvl w:val="0"/>
                <w:numId w:val="41"/>
              </w:numPr>
              <w:spacing w:after="8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253A">
              <w:rPr>
                <w:rFonts w:eastAsia="MyriadPro-Regular" w:cstheme="minorHAnsi"/>
                <w:sz w:val="20"/>
              </w:rPr>
              <w:t xml:space="preserve">Beneficjent, zgodnie z SOOP RPO WZ 2014-2020, jest podmiotem uprawnionym do </w:t>
            </w:r>
            <w:r w:rsidRPr="0049253A">
              <w:rPr>
                <w:rFonts w:eastAsia="MyriadPro-Regular" w:cstheme="minorHAnsi"/>
                <w:sz w:val="20"/>
                <w:szCs w:val="20"/>
              </w:rPr>
              <w:t>ubiegania się o dofinansowanie w ramach działania 1.19</w:t>
            </w:r>
          </w:p>
          <w:p w14:paraId="2C14B079" w14:textId="5815FBA9" w:rsidR="00E714EB" w:rsidRPr="00B22F9D" w:rsidRDefault="00E714EB" w:rsidP="00B22F9D">
            <w:pPr>
              <w:pStyle w:val="Akapitzlist"/>
              <w:numPr>
                <w:ilvl w:val="0"/>
                <w:numId w:val="41"/>
              </w:numPr>
              <w:spacing w:after="8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2F9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Beneficjent nie podlega wykluczeniu z </w:t>
            </w:r>
            <w:r w:rsidRPr="00B22F9D">
              <w:rPr>
                <w:rFonts w:eastAsia="Malgun Gothic" w:cstheme="minorHAnsi"/>
                <w:sz w:val="20"/>
              </w:rPr>
              <w:t xml:space="preserve"> możliwości ubiegania się o dofinansowanie, w tym wykluczeniu, o którym mowa w art. 207 ust. 4 ustawy z dnia 27 sierpnia 2009 r., o finansach publicznych.</w:t>
            </w:r>
          </w:p>
          <w:p w14:paraId="0EF4B0E0" w14:textId="77777777" w:rsidR="00E714EB" w:rsidRPr="00B22F9D" w:rsidRDefault="00E714EB" w:rsidP="00E714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8F384F4" w14:textId="01176EF6" w:rsidR="00E714EB" w:rsidRPr="00B22F9D" w:rsidRDefault="00E714EB" w:rsidP="00E714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2F9D">
              <w:rPr>
                <w:rFonts w:eastAsia="Times New Roman" w:cstheme="minorHAnsi"/>
                <w:sz w:val="20"/>
                <w:szCs w:val="20"/>
                <w:lang w:eastAsia="pl-PL"/>
              </w:rPr>
              <w:t>Wnioskodawca kwalifikuje się do otrzymania wsparcia wyłącznie w sytuacji, gdy jest  podmiotem uprawnionym do dofinansowania zarówno na etapie aplikowania, jak również  w dniu podjęcia decyzji o dofinansowaniu.</w:t>
            </w:r>
          </w:p>
          <w:p w14:paraId="2EDEC4BB" w14:textId="77777777" w:rsidR="00E714EB" w:rsidRPr="00B22F9D" w:rsidRDefault="00E714EB" w:rsidP="0049253A">
            <w:pPr>
              <w:pStyle w:val="Akapitzlist"/>
              <w:spacing w:after="80"/>
              <w:ind w:left="3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EE60AA8" w14:textId="583A2E9F" w:rsidR="006A7612" w:rsidRPr="00B22F9D" w:rsidRDefault="006A7612" w:rsidP="00B22F9D">
            <w:pPr>
              <w:pStyle w:val="Akapitzlist"/>
              <w:numPr>
                <w:ilvl w:val="0"/>
                <w:numId w:val="41"/>
              </w:numPr>
              <w:spacing w:after="8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2F9D">
              <w:rPr>
                <w:rFonts w:eastAsia="Times New Roman" w:cstheme="minorHAnsi"/>
                <w:sz w:val="20"/>
                <w:szCs w:val="20"/>
                <w:lang w:eastAsia="pl-PL"/>
              </w:rPr>
              <w:t>Wnioskodawca zobowiązał się</w:t>
            </w:r>
            <w:r w:rsidR="002736D2" w:rsidRPr="00B22F9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B22F9D">
              <w:rPr>
                <w:rFonts w:eastAsia="Times New Roman" w:cstheme="minorHAnsi"/>
                <w:sz w:val="20"/>
                <w:szCs w:val="20"/>
                <w:lang w:eastAsia="pl-PL"/>
              </w:rPr>
              <w:t>do:</w:t>
            </w:r>
          </w:p>
          <w:p w14:paraId="533915DE" w14:textId="7B840DAC" w:rsidR="006A7612" w:rsidRPr="00852D6A" w:rsidRDefault="006A7612" w:rsidP="00852D6A">
            <w:pPr>
              <w:pStyle w:val="Akapitzlist"/>
              <w:numPr>
                <w:ilvl w:val="0"/>
                <w:numId w:val="47"/>
              </w:numPr>
              <w:rPr>
                <w:rFonts w:ascii="Arial" w:eastAsia="Times New Roman" w:hAnsi="Arial" w:cs="Arial"/>
                <w:sz w:val="25"/>
                <w:szCs w:val="25"/>
                <w:lang w:eastAsia="pl-PL"/>
              </w:rPr>
            </w:pPr>
            <w:r w:rsidRPr="00852D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uzgodnienia i </w:t>
            </w:r>
            <w:r w:rsidR="002736D2" w:rsidRPr="00852D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przedstawienia do zatwierdzenia przez Instytucję Zarządzającą RPO  </w:t>
            </w:r>
            <w:r w:rsidR="002736D2" w:rsidRPr="00B22F9D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kryteriów wyboru </w:t>
            </w:r>
            <w:proofErr w:type="spellStart"/>
            <w:r w:rsidR="002736D2" w:rsidRPr="00B22F9D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Grantobiorców</w:t>
            </w:r>
            <w:proofErr w:type="spellEnd"/>
            <w:r w:rsidR="002736D2" w:rsidRPr="00B22F9D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i wniosków o  grant</w:t>
            </w:r>
            <w:r w:rsidR="002736D2" w:rsidRPr="00852D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852D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</w:t>
            </w:r>
            <w:r w:rsidR="002736D2" w:rsidRPr="00852D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procedur dotyczących </w:t>
            </w:r>
            <w:r w:rsidRPr="00852D6A">
              <w:rPr>
                <w:rFonts w:eastAsia="Times New Roman" w:cstheme="minorHAnsi"/>
                <w:sz w:val="20"/>
                <w:szCs w:val="20"/>
                <w:lang w:eastAsia="pl-PL"/>
              </w:rPr>
              <w:t>udzielania grantów w ramach działania 1.19</w:t>
            </w:r>
            <w:r w:rsidR="00852D6A" w:rsidRPr="00852D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przed publikacją ogłoszenia dotyczącego wyboru </w:t>
            </w:r>
            <w:proofErr w:type="spellStart"/>
            <w:r w:rsidR="00852D6A" w:rsidRPr="00852D6A">
              <w:rPr>
                <w:rFonts w:eastAsia="Times New Roman" w:cstheme="minorHAnsi"/>
                <w:sz w:val="20"/>
                <w:szCs w:val="20"/>
                <w:lang w:eastAsia="pl-PL"/>
              </w:rPr>
              <w:t>Grantobiorców</w:t>
            </w:r>
            <w:proofErr w:type="spellEnd"/>
            <w:r w:rsidRPr="00852D6A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</w:p>
          <w:p w14:paraId="6EEE0E86" w14:textId="77777777" w:rsidR="00852D6A" w:rsidRDefault="006A7612" w:rsidP="006A7612">
            <w:pPr>
              <w:pStyle w:val="Akapitzlist"/>
              <w:numPr>
                <w:ilvl w:val="0"/>
                <w:numId w:val="42"/>
              </w:numPr>
              <w:spacing w:after="8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355F">
              <w:rPr>
                <w:rFonts w:eastAsia="Times New Roman" w:cstheme="minorHAnsi"/>
                <w:sz w:val="20"/>
                <w:szCs w:val="20"/>
                <w:lang w:eastAsia="pl-PL"/>
              </w:rPr>
              <w:t>zastosowania do ustalenia kwot udzielanych grantów stawek jednostkowych określonych w</w:t>
            </w:r>
            <w:r w:rsidR="002736D2" w:rsidRPr="0087355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„</w:t>
            </w:r>
            <w:r w:rsidR="002736D2" w:rsidRPr="0087355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M</w:t>
            </w:r>
            <w:r w:rsidRPr="0087355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etodologii </w:t>
            </w:r>
            <w:r w:rsidR="002736D2" w:rsidRPr="0087355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wyliczenia stawek jednostkowych w projektach w zakresie wsparcia utrzymania działalności w sytuacji nagłego niedoboru lub braku płynności mikro, małych i średnich przedsiębiorstw w ramach programów operacyjnych na lata 2014-</w:t>
            </w:r>
            <w:r w:rsidR="002736D2" w:rsidRPr="0087355F">
              <w:rPr>
                <w:rFonts w:eastAsia="Times New Roman" w:cstheme="minorHAnsi"/>
                <w:sz w:val="20"/>
                <w:szCs w:val="20"/>
                <w:lang w:eastAsia="pl-PL"/>
              </w:rPr>
              <w:t>2020”</w:t>
            </w:r>
          </w:p>
          <w:p w14:paraId="414BAF13" w14:textId="525E967B" w:rsidR="002736D2" w:rsidRPr="0087355F" w:rsidRDefault="00852D6A" w:rsidP="00852D6A">
            <w:pPr>
              <w:pStyle w:val="Akapitzlist"/>
              <w:numPr>
                <w:ilvl w:val="0"/>
                <w:numId w:val="42"/>
              </w:numPr>
              <w:spacing w:after="8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udzielania grantów na podstawie rozporządzenia </w:t>
            </w:r>
            <w:r w:rsidRPr="00852D6A">
              <w:rPr>
                <w:rFonts w:eastAsia="Times New Roman" w:cstheme="minorHAnsi"/>
                <w:sz w:val="20"/>
                <w:szCs w:val="20"/>
                <w:lang w:eastAsia="pl-PL"/>
              </w:rPr>
              <w:t>Ministra Funduszy i Polityki Regionalnej z dnia 28 kwietnia 2020 r. w sprawie udzielania pomocy w formie dotacji lub pomocy zwrotnej w ramach programów operacyjnych na lata 2014-2020 w celu wspierania polskiej gospodarki w związku z wystąpieniem pandemii COVID-19 (Dz. U. z 2020 r. poz. 773).</w:t>
            </w:r>
            <w:r w:rsidR="002736D2" w:rsidRPr="0087355F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</w:p>
          <w:p w14:paraId="404AA675" w14:textId="77777777" w:rsidR="002736D2" w:rsidRPr="0087355F" w:rsidRDefault="002736D2" w:rsidP="006A7612">
            <w:pPr>
              <w:spacing w:after="80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30" w:type="pct"/>
          </w:tcPr>
          <w:p w14:paraId="033F2D63" w14:textId="77777777" w:rsidR="00B22F9D" w:rsidRPr="00B22F9D" w:rsidRDefault="00B22F9D" w:rsidP="00B22F9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2F9D">
              <w:rPr>
                <w:rFonts w:cstheme="minorHAnsi"/>
                <w:sz w:val="20"/>
                <w:szCs w:val="20"/>
              </w:rPr>
              <w:t>Spełnienie kryterium jest konieczne do przyznania dofinansowania.</w:t>
            </w:r>
          </w:p>
          <w:p w14:paraId="29BCEB82" w14:textId="77777777" w:rsidR="00B22F9D" w:rsidRPr="00B22F9D" w:rsidRDefault="00B22F9D" w:rsidP="00B22F9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2F9D">
              <w:rPr>
                <w:rFonts w:cstheme="minorHAnsi"/>
                <w:sz w:val="20"/>
                <w:szCs w:val="20"/>
              </w:rPr>
              <w:t>Projekty niespełniające kryterium są odrzucane.</w:t>
            </w:r>
          </w:p>
          <w:p w14:paraId="4FA3AB13" w14:textId="77777777" w:rsidR="00B22F9D" w:rsidRPr="00B22F9D" w:rsidRDefault="00B22F9D" w:rsidP="00B22F9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54E6E85E" w14:textId="77777777" w:rsidR="00B22F9D" w:rsidRPr="00B22F9D" w:rsidRDefault="00B22F9D" w:rsidP="00B22F9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2F9D">
              <w:rPr>
                <w:rFonts w:cstheme="minorHAnsi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396D50A4" w14:textId="77777777" w:rsidR="00B22F9D" w:rsidRPr="00B22F9D" w:rsidRDefault="00B22F9D" w:rsidP="00B22F9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0AE0BEE2" w14:textId="31BB6C09" w:rsidR="002736D2" w:rsidRPr="0087355F" w:rsidRDefault="00B22F9D" w:rsidP="00B22F9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2F9D">
              <w:rPr>
                <w:rFonts w:cstheme="minorHAnsi"/>
                <w:sz w:val="20"/>
                <w:szCs w:val="20"/>
              </w:rPr>
              <w:t>Istnieje możliwość uzupełnienia lub poprawienia wniosku o dofinansowanie w ramach tego kryterium, zgodnie z procedurą i w zakresie uregulowanym w regulaminie konkursu/naboru.</w:t>
            </w:r>
          </w:p>
        </w:tc>
      </w:tr>
      <w:tr w:rsidR="00E30448" w:rsidRPr="0087355F" w14:paraId="30894E1A" w14:textId="77777777" w:rsidTr="00E30448">
        <w:trPr>
          <w:trHeight w:val="1376"/>
        </w:trPr>
        <w:tc>
          <w:tcPr>
            <w:tcW w:w="239" w:type="pct"/>
          </w:tcPr>
          <w:p w14:paraId="55177206" w14:textId="2EDA97B9" w:rsidR="00E30448" w:rsidRPr="0087355F" w:rsidRDefault="00B22F9D" w:rsidP="00542392">
            <w:pPr>
              <w:spacing w:before="40" w:after="4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1.3</w:t>
            </w:r>
          </w:p>
        </w:tc>
        <w:tc>
          <w:tcPr>
            <w:tcW w:w="813" w:type="pct"/>
          </w:tcPr>
          <w:p w14:paraId="7F7E24B2" w14:textId="77777777" w:rsidR="00E30448" w:rsidRPr="0087355F" w:rsidRDefault="00E30448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Zasadność realizacji</w:t>
            </w:r>
          </w:p>
          <w:p w14:paraId="2552BCAC" w14:textId="77777777" w:rsidR="00E30448" w:rsidRPr="0087355F" w:rsidRDefault="00E30448" w:rsidP="005423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projektu</w:t>
            </w:r>
          </w:p>
        </w:tc>
        <w:tc>
          <w:tcPr>
            <w:tcW w:w="2918" w:type="pct"/>
          </w:tcPr>
          <w:p w14:paraId="721CDDA2" w14:textId="09C07B4C" w:rsidR="00E30448" w:rsidRPr="0087355F" w:rsidRDefault="00E30448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 xml:space="preserve">Potrzeba realizacji danego projektu jest zrozumiała i jasno wynika ze zidentyfikowanych przez Wnioskodawcę potrzeb i wyzwań </w:t>
            </w:r>
            <w:r w:rsidR="00B22D01" w:rsidRPr="0087355F">
              <w:rPr>
                <w:rFonts w:cstheme="minorHAnsi"/>
                <w:sz w:val="20"/>
                <w:szCs w:val="20"/>
              </w:rPr>
              <w:t xml:space="preserve">zachodniopomorskich mikro i małych przedsiębiorstw </w:t>
            </w:r>
            <w:r w:rsidRPr="0087355F">
              <w:rPr>
                <w:rFonts w:cstheme="minorHAnsi"/>
                <w:sz w:val="20"/>
                <w:szCs w:val="20"/>
              </w:rPr>
              <w:t xml:space="preserve"> </w:t>
            </w:r>
            <w:r w:rsidR="00B22D01" w:rsidRPr="0087355F">
              <w:rPr>
                <w:rFonts w:cstheme="minorHAnsi"/>
                <w:sz w:val="20"/>
                <w:szCs w:val="20"/>
              </w:rPr>
              <w:t>zmagających się ze skutkami i ograniczeniami w prowadzeniu działalności gospodarczej wynikającymi z epidemii COVID-19.</w:t>
            </w:r>
          </w:p>
          <w:p w14:paraId="21C4A448" w14:textId="77777777" w:rsidR="00891C86" w:rsidRPr="0087355F" w:rsidRDefault="00891C86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4F33348" w14:textId="77777777" w:rsidR="00E30448" w:rsidRDefault="00E30448" w:rsidP="00B22D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Cele projektu są poprawnie określone, konkretne, mierzalne, osiągalne, realistyczne i określone w czasie oraz zbieżne z analizą potrzeb przedstawioną we wniosku o dofinansowanie.</w:t>
            </w:r>
          </w:p>
          <w:p w14:paraId="4C074E9F" w14:textId="21434428" w:rsidR="00BB529B" w:rsidRPr="0087355F" w:rsidRDefault="00BB529B" w:rsidP="00B22D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30" w:type="pct"/>
          </w:tcPr>
          <w:p w14:paraId="4F600938" w14:textId="77777777" w:rsidR="00931990" w:rsidRPr="0087355F" w:rsidRDefault="00931990" w:rsidP="0093199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Spełnienie kryterium jest konieczne do przyznania</w:t>
            </w:r>
          </w:p>
          <w:p w14:paraId="324E92EB" w14:textId="77777777" w:rsidR="00931990" w:rsidRPr="0087355F" w:rsidRDefault="00931990" w:rsidP="0093199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dofinansowania.</w:t>
            </w:r>
          </w:p>
          <w:p w14:paraId="4CE30F20" w14:textId="77777777" w:rsidR="00DF6B2C" w:rsidRPr="0087355F" w:rsidRDefault="00DF6B2C" w:rsidP="00DF6B2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Projekty niespełniające kryterium są odrzucane.</w:t>
            </w:r>
          </w:p>
          <w:p w14:paraId="1420E44D" w14:textId="77777777" w:rsidR="00DF6B2C" w:rsidRPr="0087355F" w:rsidRDefault="00DF6B2C" w:rsidP="0093199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0B671897" w14:textId="77777777" w:rsidR="00931990" w:rsidRPr="0087355F" w:rsidRDefault="00931990" w:rsidP="0093199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Ocena spełniania kryterium polega na przypisaniu wartości</w:t>
            </w:r>
          </w:p>
          <w:p w14:paraId="1571799A" w14:textId="77777777" w:rsidR="00E30448" w:rsidRDefault="00931990" w:rsidP="009319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logicznych „tak”, „nie”.</w:t>
            </w:r>
          </w:p>
          <w:p w14:paraId="2B833C5B" w14:textId="77777777" w:rsidR="00B22F9D" w:rsidRDefault="00B22F9D" w:rsidP="009319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05545E7E" w14:textId="77777777" w:rsidR="00B22F9D" w:rsidRDefault="00B22F9D" w:rsidP="009319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Istnieje możliwość uzupełnienia lub poprawienia wniosku o dofinansowanie w ramach tego kryterium, zgodnie z procedurą i w zakresie uregulowanym w regulaminie konkursu/naboru.</w:t>
            </w:r>
          </w:p>
          <w:p w14:paraId="0D271CD2" w14:textId="3D52C603" w:rsidR="00B22F9D" w:rsidRPr="0087355F" w:rsidRDefault="00B22F9D" w:rsidP="009319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30448" w:rsidRPr="0087355F" w14:paraId="46EBEF70" w14:textId="77777777" w:rsidTr="00E30448">
        <w:trPr>
          <w:trHeight w:val="1376"/>
        </w:trPr>
        <w:tc>
          <w:tcPr>
            <w:tcW w:w="239" w:type="pct"/>
          </w:tcPr>
          <w:p w14:paraId="1E85FC8F" w14:textId="421E6410" w:rsidR="00E30448" w:rsidRPr="0087355F" w:rsidRDefault="00B22F9D" w:rsidP="00AD7354">
            <w:pPr>
              <w:spacing w:before="40" w:after="4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1.4</w:t>
            </w:r>
          </w:p>
        </w:tc>
        <w:tc>
          <w:tcPr>
            <w:tcW w:w="813" w:type="pct"/>
          </w:tcPr>
          <w:p w14:paraId="1536CDDF" w14:textId="77777777" w:rsidR="00FA6F56" w:rsidRPr="0087355F" w:rsidRDefault="00FA6F56" w:rsidP="00FA6F5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Zgodność z zasadami</w:t>
            </w:r>
          </w:p>
          <w:p w14:paraId="7284A845" w14:textId="77777777" w:rsidR="00E30448" w:rsidRPr="0087355F" w:rsidRDefault="00FA6F56" w:rsidP="00FA6F5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horyzontalnymi</w:t>
            </w:r>
          </w:p>
        </w:tc>
        <w:tc>
          <w:tcPr>
            <w:tcW w:w="2918" w:type="pct"/>
          </w:tcPr>
          <w:p w14:paraId="66384B1C" w14:textId="77777777" w:rsidR="00816674" w:rsidRPr="0087355F" w:rsidRDefault="00816674" w:rsidP="0081667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Projekt jest zgodny z właściwymi politykami i zasadami</w:t>
            </w:r>
            <w:r w:rsidR="00931990" w:rsidRPr="0087355F">
              <w:rPr>
                <w:rFonts w:cstheme="minorHAnsi"/>
                <w:sz w:val="20"/>
                <w:szCs w:val="20"/>
              </w:rPr>
              <w:t xml:space="preserve"> </w:t>
            </w:r>
            <w:r w:rsidRPr="0087355F">
              <w:rPr>
                <w:rFonts w:cstheme="minorHAnsi"/>
                <w:sz w:val="20"/>
                <w:szCs w:val="20"/>
              </w:rPr>
              <w:t>wspólnotowymi:</w:t>
            </w:r>
          </w:p>
          <w:p w14:paraId="18A66EAE" w14:textId="77777777" w:rsidR="00816674" w:rsidRPr="0087355F" w:rsidRDefault="00816674" w:rsidP="0081667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a) zrównoważonego rozwoju,</w:t>
            </w:r>
          </w:p>
          <w:p w14:paraId="43F0C634" w14:textId="77777777" w:rsidR="00816674" w:rsidRPr="0087355F" w:rsidRDefault="00816674" w:rsidP="0081667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b) z zasadą równości szans kobiet i mężczyzn,</w:t>
            </w:r>
          </w:p>
          <w:p w14:paraId="2C891477" w14:textId="39FA8FE4" w:rsidR="00E30448" w:rsidRPr="0087355F" w:rsidRDefault="00816674" w:rsidP="0093199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c) z zasadą równości szans i niedyskryminacji, w tym</w:t>
            </w:r>
            <w:r w:rsidR="00B22D01" w:rsidRPr="0087355F">
              <w:rPr>
                <w:rFonts w:cstheme="minorHAnsi"/>
                <w:sz w:val="20"/>
                <w:szCs w:val="20"/>
              </w:rPr>
              <w:t xml:space="preserve"> </w:t>
            </w:r>
            <w:r w:rsidRPr="0087355F">
              <w:rPr>
                <w:rFonts w:cstheme="minorHAnsi"/>
                <w:sz w:val="20"/>
                <w:szCs w:val="20"/>
              </w:rPr>
              <w:t>dostępności dla osób z niepełnosprawnościami, w tym</w:t>
            </w:r>
            <w:r w:rsidR="00931990" w:rsidRPr="0087355F">
              <w:rPr>
                <w:rFonts w:cstheme="minorHAnsi"/>
                <w:sz w:val="20"/>
                <w:szCs w:val="20"/>
              </w:rPr>
              <w:t xml:space="preserve"> </w:t>
            </w:r>
            <w:r w:rsidRPr="0087355F">
              <w:rPr>
                <w:rFonts w:cstheme="minorHAnsi"/>
                <w:sz w:val="20"/>
                <w:szCs w:val="20"/>
              </w:rPr>
              <w:t>m. in. budowanie infrastruktury w zgodzie z zasadą</w:t>
            </w:r>
            <w:r w:rsidR="00931990" w:rsidRPr="0087355F">
              <w:rPr>
                <w:rFonts w:cstheme="minorHAnsi"/>
                <w:sz w:val="20"/>
                <w:szCs w:val="20"/>
              </w:rPr>
              <w:t xml:space="preserve"> </w:t>
            </w:r>
            <w:r w:rsidRPr="0087355F">
              <w:rPr>
                <w:rFonts w:cstheme="minorHAnsi"/>
                <w:sz w:val="20"/>
                <w:szCs w:val="20"/>
              </w:rPr>
              <w:t>uniwersalnego projektowania.</w:t>
            </w:r>
          </w:p>
          <w:p w14:paraId="6217C56D" w14:textId="77777777" w:rsidR="00892B2F" w:rsidRPr="0087355F" w:rsidRDefault="00892B2F" w:rsidP="00892B2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374F6C4" w14:textId="2DD71C24" w:rsidR="00892B2F" w:rsidRPr="0087355F" w:rsidRDefault="00892B2F" w:rsidP="00892B2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355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Uniwersalne projektowanie to projektowanie produktów, środowiska, programów i usług w taki sposób, by były użyteczne dla wszystkich, w możliwie największym stopniu, bez potrzeby późniejszej adaptacji lub specjalistycznego projektowania. Projekt zakłada dostępność dla jak najszerszego grona odbiorców, w szczególności osób z niepełnosprawnościami. Wnioskodawca wykazał, że projekt będzie miał pozytywny wpływ na zasadę równości szans i niedyskryminacji, w tym dostępności dla osób z niepełnoprawnościami. Przez pozytywny wpływ należy rozumieć zapewnienie dostępności infrastruktury, transportu, towarów, usług, technologii i systemów informacyjno-komunikacyjnych oraz wszelkich innych produktów projektu (które nie zostały uznane za neutralne) dla wszystkich ich użytkowników, zgodnie ze standardami dostępności, stanowiącymi załącznik do Wytycznych w zakresie realizacji zasady równości szans i niedyskryminacji, w tym dostępności dla osób z </w:t>
            </w:r>
            <w:r w:rsidRPr="0087355F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niepełnosprawnościami oraz zasady równości szans kobiet i mężczyzn w ramach funduszy unijnych na lata 2014-2020.</w:t>
            </w:r>
          </w:p>
          <w:p w14:paraId="55652B2D" w14:textId="44FDCC21" w:rsidR="00892B2F" w:rsidRPr="0087355F" w:rsidRDefault="00892B2F" w:rsidP="00892B2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355F">
              <w:rPr>
                <w:rFonts w:eastAsia="Times New Roman" w:cstheme="minorHAnsi"/>
                <w:sz w:val="20"/>
                <w:szCs w:val="20"/>
                <w:lang w:eastAsia="pl-PL"/>
              </w:rPr>
              <w:t>Neutralność projektu w odniesieniu do zasady równości szans kobiet i mężczyzn jest dopuszczalna tylko w sytuacji, kiedy w ramach projektu wnioskodawca wskaże szczegółowe uzasadnienie, dlaczego dany projekt nie jest w stanie zrealizować jakichkolwiek działań wpływających na spełnienie ww. zasady.</w:t>
            </w:r>
          </w:p>
        </w:tc>
        <w:tc>
          <w:tcPr>
            <w:tcW w:w="1030" w:type="pct"/>
          </w:tcPr>
          <w:p w14:paraId="253634CA" w14:textId="77777777" w:rsidR="00931990" w:rsidRPr="0087355F" w:rsidRDefault="00931990" w:rsidP="0093199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lastRenderedPageBreak/>
              <w:t>Spełnienie kryterium jest konieczne do przyznania</w:t>
            </w:r>
          </w:p>
          <w:p w14:paraId="2B940240" w14:textId="77777777" w:rsidR="00931990" w:rsidRPr="0087355F" w:rsidRDefault="00931990" w:rsidP="0093199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dofinansowania.</w:t>
            </w:r>
          </w:p>
          <w:p w14:paraId="3DC81E75" w14:textId="77777777" w:rsidR="00DF6B2C" w:rsidRPr="0087355F" w:rsidRDefault="00DF6B2C" w:rsidP="00DF6B2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Projekty niespełniające kryterium są odrzucane.</w:t>
            </w:r>
          </w:p>
          <w:p w14:paraId="6827150F" w14:textId="77777777" w:rsidR="00931990" w:rsidRPr="0087355F" w:rsidRDefault="00931990" w:rsidP="0093199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3E5FC90D" w14:textId="77777777" w:rsidR="00931990" w:rsidRPr="0087355F" w:rsidRDefault="00931990" w:rsidP="0093199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Ocena spełniania kryterium polega na przypisaniu wartości</w:t>
            </w:r>
          </w:p>
          <w:p w14:paraId="64AF2BAC" w14:textId="77777777" w:rsidR="00E30448" w:rsidRDefault="00931990" w:rsidP="009319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logicznych „tak”, „nie”.</w:t>
            </w:r>
          </w:p>
          <w:p w14:paraId="2E9B461A" w14:textId="77777777" w:rsidR="00B22F9D" w:rsidRDefault="00B22F9D" w:rsidP="009319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7BB0C113" w14:textId="2F2B63AA" w:rsidR="00B22F9D" w:rsidRPr="0087355F" w:rsidRDefault="00B22F9D" w:rsidP="009319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Istnieje możliwość uzupełnienia lub poprawienia wniosku o dofinansowanie w ramach tego kryterium, zgodnie z procedurą i w zakresie uregulowanym w regulaminie konkursu/naboru.</w:t>
            </w:r>
          </w:p>
        </w:tc>
      </w:tr>
      <w:tr w:rsidR="00C305AD" w:rsidRPr="0087355F" w14:paraId="7D968252" w14:textId="77777777" w:rsidTr="00931990">
        <w:trPr>
          <w:trHeight w:val="1768"/>
        </w:trPr>
        <w:tc>
          <w:tcPr>
            <w:tcW w:w="239" w:type="pct"/>
          </w:tcPr>
          <w:p w14:paraId="4D311D04" w14:textId="0BDE8BC9" w:rsidR="00C305AD" w:rsidRPr="0087355F" w:rsidRDefault="00B22F9D" w:rsidP="00AD7354">
            <w:pPr>
              <w:spacing w:before="40" w:after="4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1.5</w:t>
            </w:r>
          </w:p>
        </w:tc>
        <w:tc>
          <w:tcPr>
            <w:tcW w:w="813" w:type="pct"/>
          </w:tcPr>
          <w:p w14:paraId="7032EE34" w14:textId="77777777" w:rsidR="00C305AD" w:rsidRPr="0087355F" w:rsidRDefault="00C305AD" w:rsidP="00C30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Zgodność z wymogami</w:t>
            </w:r>
          </w:p>
          <w:p w14:paraId="6CE9333B" w14:textId="77777777" w:rsidR="00C305AD" w:rsidRPr="0087355F" w:rsidRDefault="00C305AD" w:rsidP="00C305A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pomocy publicznej</w:t>
            </w:r>
          </w:p>
        </w:tc>
        <w:tc>
          <w:tcPr>
            <w:tcW w:w="2918" w:type="pct"/>
          </w:tcPr>
          <w:p w14:paraId="495F3F77" w14:textId="3DB6ADF2" w:rsidR="00C305AD" w:rsidRPr="0087355F" w:rsidRDefault="00C305AD" w:rsidP="000C357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 xml:space="preserve">Weryfikacji podlega, czy </w:t>
            </w:r>
            <w:r w:rsidR="00931990" w:rsidRPr="0087355F">
              <w:rPr>
                <w:rFonts w:cstheme="minorHAnsi"/>
                <w:sz w:val="20"/>
                <w:szCs w:val="20"/>
              </w:rPr>
              <w:t>wsparcie</w:t>
            </w:r>
            <w:r w:rsidRPr="0087355F">
              <w:rPr>
                <w:rFonts w:cstheme="minorHAnsi"/>
                <w:sz w:val="20"/>
                <w:szCs w:val="20"/>
              </w:rPr>
              <w:t xml:space="preserve"> nie nosi znami</w:t>
            </w:r>
            <w:r w:rsidR="00931990" w:rsidRPr="0087355F">
              <w:rPr>
                <w:rFonts w:cstheme="minorHAnsi"/>
                <w:sz w:val="20"/>
                <w:szCs w:val="20"/>
              </w:rPr>
              <w:t xml:space="preserve">on pomocy publicznej (w oparciu </w:t>
            </w:r>
            <w:r w:rsidRPr="0087355F">
              <w:rPr>
                <w:rFonts w:cstheme="minorHAnsi"/>
                <w:sz w:val="20"/>
                <w:szCs w:val="20"/>
              </w:rPr>
              <w:t>o przesłanki występowania p</w:t>
            </w:r>
            <w:r w:rsidR="00931990" w:rsidRPr="0087355F">
              <w:rPr>
                <w:rFonts w:cstheme="minorHAnsi"/>
                <w:sz w:val="20"/>
                <w:szCs w:val="20"/>
              </w:rPr>
              <w:t xml:space="preserve">omocy publicznej zawarte w art. </w:t>
            </w:r>
            <w:r w:rsidRPr="0087355F">
              <w:rPr>
                <w:rFonts w:cstheme="minorHAnsi"/>
                <w:sz w:val="20"/>
                <w:szCs w:val="20"/>
              </w:rPr>
              <w:t xml:space="preserve">107 </w:t>
            </w:r>
            <w:proofErr w:type="spellStart"/>
            <w:r w:rsidRPr="0087355F">
              <w:rPr>
                <w:rFonts w:cstheme="minorHAnsi"/>
                <w:sz w:val="20"/>
                <w:szCs w:val="20"/>
              </w:rPr>
              <w:t>ToFUE</w:t>
            </w:r>
            <w:proofErr w:type="spellEnd"/>
            <w:r w:rsidRPr="0087355F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1030" w:type="pct"/>
          </w:tcPr>
          <w:p w14:paraId="66129AC2" w14:textId="77777777" w:rsidR="00931990" w:rsidRPr="0087355F" w:rsidRDefault="00931990" w:rsidP="009319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Spełnienie kryterium jest konieczne do przyznania dofinansowania.</w:t>
            </w:r>
          </w:p>
          <w:p w14:paraId="15DD2904" w14:textId="77777777" w:rsidR="00C305AD" w:rsidRDefault="00931990" w:rsidP="009319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355F">
              <w:rPr>
                <w:rFonts w:cstheme="minorHAnsi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73B56C6B" w14:textId="77777777" w:rsidR="00B22F9D" w:rsidRDefault="00B22F9D" w:rsidP="009319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120D4A79" w14:textId="77777777" w:rsidR="00B22F9D" w:rsidRDefault="00B22F9D" w:rsidP="009319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Istnieje możliwość uzupełnienia lub poprawienia wniosku o dofinansowanie w ramach tego kryterium, zgodnie z procedurą i w zakresie uregulowanym w regulaminie konkursu/naboru.</w:t>
            </w:r>
          </w:p>
          <w:p w14:paraId="72C7FF35" w14:textId="607B4290" w:rsidR="00B22F9D" w:rsidRPr="0087355F" w:rsidRDefault="00B22F9D" w:rsidP="009319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A7CFB5F" w14:textId="77777777" w:rsidR="004623DB" w:rsidRPr="003B6B28" w:rsidRDefault="004623DB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2"/>
        <w:tblW w:w="5211" w:type="pct"/>
        <w:tblInd w:w="-601" w:type="dxa"/>
        <w:tblLook w:val="04A0" w:firstRow="1" w:lastRow="0" w:firstColumn="1" w:lastColumn="0" w:noHBand="0" w:noVBand="1"/>
      </w:tblPr>
      <w:tblGrid>
        <w:gridCol w:w="480"/>
        <w:gridCol w:w="2638"/>
        <w:gridCol w:w="7514"/>
        <w:gridCol w:w="4188"/>
      </w:tblGrid>
      <w:tr w:rsidR="007F380F" w:rsidRPr="003B6B28" w14:paraId="49952534" w14:textId="77777777" w:rsidTr="00530BA1">
        <w:trPr>
          <w:trHeight w:val="332"/>
          <w:tblHeader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47C41CE4" w14:textId="77777777" w:rsidR="007F380F" w:rsidRPr="003B6B28" w:rsidRDefault="007F380F" w:rsidP="0054239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B6B28">
              <w:rPr>
                <w:rFonts w:cstheme="minorHAnsi"/>
                <w:b/>
                <w:sz w:val="20"/>
                <w:szCs w:val="20"/>
              </w:rPr>
              <w:t>Administracyjne</w:t>
            </w:r>
          </w:p>
        </w:tc>
      </w:tr>
      <w:tr w:rsidR="003B6B28" w:rsidRPr="003B6B28" w14:paraId="05B597AC" w14:textId="77777777" w:rsidTr="00B22F9D">
        <w:trPr>
          <w:trHeight w:val="236"/>
          <w:tblHeader/>
        </w:trPr>
        <w:tc>
          <w:tcPr>
            <w:tcW w:w="162" w:type="pct"/>
          </w:tcPr>
          <w:p w14:paraId="2A5E8C74" w14:textId="77777777" w:rsidR="003B6B28" w:rsidRPr="003B6B28" w:rsidRDefault="003B6B28" w:rsidP="00210CD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890" w:type="pct"/>
          </w:tcPr>
          <w:p w14:paraId="083F04CD" w14:textId="77777777" w:rsidR="003B6B28" w:rsidRPr="003B6B28" w:rsidRDefault="003B6B28" w:rsidP="00210CD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Nazwa kryterium</w:t>
            </w:r>
          </w:p>
        </w:tc>
        <w:tc>
          <w:tcPr>
            <w:tcW w:w="2535" w:type="pct"/>
          </w:tcPr>
          <w:p w14:paraId="74A7EAF6" w14:textId="77777777" w:rsidR="003B6B28" w:rsidRPr="003B6B28" w:rsidRDefault="003B6B28" w:rsidP="00210CD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Definicja kryterium</w:t>
            </w:r>
          </w:p>
        </w:tc>
        <w:tc>
          <w:tcPr>
            <w:tcW w:w="1413" w:type="pct"/>
          </w:tcPr>
          <w:p w14:paraId="68EDCBF0" w14:textId="77777777" w:rsidR="003B6B28" w:rsidRPr="003B6B28" w:rsidRDefault="003B6B28" w:rsidP="00210CD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Opis znaczenia kryterium</w:t>
            </w:r>
          </w:p>
        </w:tc>
      </w:tr>
      <w:tr w:rsidR="003B6B28" w:rsidRPr="003B6B28" w14:paraId="00B817F2" w14:textId="77777777" w:rsidTr="00B22F9D">
        <w:trPr>
          <w:trHeight w:val="253"/>
          <w:tblHeader/>
        </w:trPr>
        <w:tc>
          <w:tcPr>
            <w:tcW w:w="162" w:type="pct"/>
            <w:tcBorders>
              <w:bottom w:val="single" w:sz="4" w:space="0" w:color="auto"/>
            </w:tcBorders>
          </w:tcPr>
          <w:p w14:paraId="22886107" w14:textId="77777777" w:rsidR="003B6B28" w:rsidRPr="003B6B28" w:rsidRDefault="003B6B28" w:rsidP="00210CD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14:paraId="64FEFE37" w14:textId="77777777" w:rsidR="003B6B28" w:rsidRPr="003B6B28" w:rsidRDefault="003B6B28" w:rsidP="00210CD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535" w:type="pct"/>
            <w:tcBorders>
              <w:bottom w:val="single" w:sz="4" w:space="0" w:color="auto"/>
            </w:tcBorders>
          </w:tcPr>
          <w:p w14:paraId="256B786C" w14:textId="77777777" w:rsidR="003B6B28" w:rsidRPr="003B6B28" w:rsidRDefault="003B6B28" w:rsidP="00210CD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13" w:type="pct"/>
            <w:tcBorders>
              <w:bottom w:val="single" w:sz="4" w:space="0" w:color="auto"/>
            </w:tcBorders>
          </w:tcPr>
          <w:p w14:paraId="26F7850D" w14:textId="77777777" w:rsidR="003B6B28" w:rsidRPr="003B6B28" w:rsidRDefault="003B6B28" w:rsidP="00210CD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7F380F" w:rsidRPr="003B6B28" w14:paraId="73CCC70D" w14:textId="77777777" w:rsidTr="00B22F9D">
        <w:trPr>
          <w:trHeight w:val="992"/>
        </w:trPr>
        <w:tc>
          <w:tcPr>
            <w:tcW w:w="162" w:type="pct"/>
          </w:tcPr>
          <w:p w14:paraId="79C11594" w14:textId="77777777" w:rsidR="007F380F" w:rsidRPr="003B6B28" w:rsidRDefault="003B1C9F" w:rsidP="00542392">
            <w:pPr>
              <w:spacing w:before="40" w:after="4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2.1</w:t>
            </w:r>
          </w:p>
        </w:tc>
        <w:tc>
          <w:tcPr>
            <w:tcW w:w="890" w:type="pct"/>
          </w:tcPr>
          <w:p w14:paraId="7F65B8DC" w14:textId="77777777" w:rsidR="007F380F" w:rsidRPr="003B6B28" w:rsidRDefault="007F380F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Możliwość oceny</w:t>
            </w:r>
          </w:p>
          <w:p w14:paraId="7C71D7EA" w14:textId="77777777" w:rsidR="007F380F" w:rsidRPr="003B6B28" w:rsidRDefault="007F380F" w:rsidP="005423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merytorycznej wniosku</w:t>
            </w:r>
          </w:p>
        </w:tc>
        <w:tc>
          <w:tcPr>
            <w:tcW w:w="2535" w:type="pct"/>
          </w:tcPr>
          <w:p w14:paraId="36751FEC" w14:textId="77777777" w:rsidR="007F380F" w:rsidRPr="003B6B28" w:rsidRDefault="007F380F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Wszystkie pola we wniosku są wypełnione w taki sposób, że dają możliwość oceny merytorycznej wniosku.</w:t>
            </w:r>
          </w:p>
          <w:p w14:paraId="46567A93" w14:textId="37B4C290" w:rsidR="007F380F" w:rsidRPr="003B6B28" w:rsidRDefault="007F380F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Opisy we wniosku oraz w załącznikach</w:t>
            </w:r>
            <w:r w:rsidR="003B6B28" w:rsidRPr="003B6B28">
              <w:rPr>
                <w:rFonts w:cstheme="minorHAnsi"/>
                <w:sz w:val="20"/>
                <w:szCs w:val="20"/>
              </w:rPr>
              <w:t xml:space="preserve"> (jeśli dotyczy)</w:t>
            </w:r>
            <w:r w:rsidRPr="003B6B28">
              <w:rPr>
                <w:rFonts w:cstheme="minorHAnsi"/>
                <w:sz w:val="20"/>
                <w:szCs w:val="20"/>
              </w:rPr>
              <w:t xml:space="preserve"> są ze sobą spójne, nie zawierają sprzecznych ze sobą kwestii.</w:t>
            </w:r>
          </w:p>
          <w:p w14:paraId="2C98D951" w14:textId="77777777" w:rsidR="003B6B28" w:rsidRPr="003B6B28" w:rsidRDefault="003B6B28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3AE6514B" w14:textId="77777777" w:rsidR="007F380F" w:rsidRPr="003B6B28" w:rsidRDefault="007F380F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Należy zweryfikować przede wszystkim opisy (w tym analizy, wnioski, szacowanie i adekwatność wskaźników) w kontekście ich:</w:t>
            </w:r>
          </w:p>
          <w:p w14:paraId="30C9788C" w14:textId="77777777" w:rsidR="007F380F" w:rsidRPr="003B6B28" w:rsidRDefault="007F380F" w:rsidP="00E96CFE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 xml:space="preserve">Poprawności – w kontekście błędów popełnionych zarówno w opisach </w:t>
            </w:r>
            <w:r w:rsidRPr="003B6B28">
              <w:rPr>
                <w:rFonts w:cstheme="minorHAnsi"/>
                <w:sz w:val="20"/>
                <w:szCs w:val="20"/>
              </w:rPr>
              <w:lastRenderedPageBreak/>
              <w:t>(rzutujących na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 xml:space="preserve">ich 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rozumienie, znaczenie, czy wiarygodność), ich aktualności (kiedy są dostępne nowsze dane lub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użyte źródła straciły ważność), jak i w analizach i wnioskowaniu (np. błędy rachunkowe zmieniające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znacząco wynik analiz).</w:t>
            </w:r>
          </w:p>
          <w:p w14:paraId="3C226595" w14:textId="77777777" w:rsidR="007F380F" w:rsidRPr="003B6B28" w:rsidRDefault="007F380F" w:rsidP="00E96CFE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Wiarygodności – weryfikacja wniosku w zakresie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wiarygodności dotyczy weryfikacji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przyjmowanych założeń oraz źródeł danych, na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podstawie których dokonywane są analizy i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tworzone opisy, a także wnioski.</w:t>
            </w:r>
          </w:p>
          <w:p w14:paraId="22EEB257" w14:textId="77777777" w:rsidR="007F380F" w:rsidRDefault="007F380F" w:rsidP="00E96CFE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Rzetelności – dokładności, z jaką opisy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odzwierciedlają każdy z aspektów poszczególnych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elementów projektu. Dotyczy etapu tworzenia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opisów. Opisy zawsze powinny brać pod uwagę te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same czynniki. Oznacza to, że opisy powinny być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spójne w czasie (po upływie pewnego czasu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ponownie sporządzone opisy powinny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przekazywać podobne treści) oraz spójne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wewnętrznie (nie występowały sprzeczności w opisach spowodowane braniem pod uwagę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innych czynników za każdym razem; wybrane do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analizy lub opisów elementy populacji / otoczenia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powinny być reprezentatywne na tyle, aby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odzwierciedlały rzeczywistą sytuację, a w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przypadku interpretacji – błąd związany z</w:t>
            </w:r>
            <w:r w:rsidR="00E96CFE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interpretacjami był minimalny).</w:t>
            </w:r>
          </w:p>
          <w:p w14:paraId="0E9FCCFD" w14:textId="77777777" w:rsidR="00B22F9D" w:rsidRPr="003B6B28" w:rsidRDefault="00B22F9D" w:rsidP="00B22F9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3" w:type="pct"/>
          </w:tcPr>
          <w:p w14:paraId="2387C0CE" w14:textId="77777777" w:rsidR="00E96CFE" w:rsidRPr="003B6B28" w:rsidRDefault="00E96CFE" w:rsidP="00E96CF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14:paraId="29FC6FD6" w14:textId="77777777" w:rsidR="00E96CFE" w:rsidRPr="003B6B28" w:rsidRDefault="00E96CFE" w:rsidP="00E96CF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Projekty niespełniające kryterium są odrzucane.</w:t>
            </w:r>
          </w:p>
          <w:p w14:paraId="545B25C7" w14:textId="77777777" w:rsidR="00E96CFE" w:rsidRPr="003B6B28" w:rsidRDefault="00E96CFE" w:rsidP="00E96CF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47C5369C" w14:textId="11CC3DA5" w:rsidR="007F380F" w:rsidRPr="003B6B28" w:rsidRDefault="00E96CFE" w:rsidP="00BB529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 xml:space="preserve">Istnieje możliwość uzupełnienia lub poprawienia wniosku o dofinansowanie w ramach tego kryterium, zgodnie z procedurą i w zakresie </w:t>
            </w:r>
            <w:r w:rsidRPr="003B6B28">
              <w:rPr>
                <w:rFonts w:cstheme="minorHAnsi"/>
                <w:sz w:val="20"/>
                <w:szCs w:val="20"/>
              </w:rPr>
              <w:lastRenderedPageBreak/>
              <w:t>uregulowanym w regulaminie naboru.</w:t>
            </w:r>
          </w:p>
        </w:tc>
      </w:tr>
      <w:tr w:rsidR="00E96CFE" w:rsidRPr="003B6B28" w14:paraId="1470A5D6" w14:textId="77777777" w:rsidTr="00B22F9D">
        <w:trPr>
          <w:trHeight w:val="976"/>
        </w:trPr>
        <w:tc>
          <w:tcPr>
            <w:tcW w:w="162" w:type="pct"/>
          </w:tcPr>
          <w:p w14:paraId="11FD2966" w14:textId="77777777" w:rsidR="00E96CFE" w:rsidRPr="003B6B28" w:rsidRDefault="003B1C9F" w:rsidP="00542392">
            <w:pPr>
              <w:spacing w:before="40" w:after="4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lastRenderedPageBreak/>
              <w:t>2.2</w:t>
            </w:r>
          </w:p>
        </w:tc>
        <w:tc>
          <w:tcPr>
            <w:tcW w:w="890" w:type="pct"/>
          </w:tcPr>
          <w:p w14:paraId="3829E248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Zgodność z kwalifikowalnością</w:t>
            </w:r>
          </w:p>
          <w:p w14:paraId="39DAAEC9" w14:textId="77777777" w:rsidR="00E96CFE" w:rsidRPr="003B6B28" w:rsidRDefault="00E96CFE" w:rsidP="005423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wydatków</w:t>
            </w:r>
          </w:p>
        </w:tc>
        <w:tc>
          <w:tcPr>
            <w:tcW w:w="2535" w:type="pct"/>
          </w:tcPr>
          <w:p w14:paraId="0B44054A" w14:textId="32D5A2E5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Planowane wydatki są uzasadnione, racjonalne i adekwatne do zakresu i celów projektu oraz celów</w:t>
            </w:r>
            <w:r w:rsidR="00891C86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działania.</w:t>
            </w:r>
          </w:p>
          <w:p w14:paraId="4B8B906B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Wydatki w projekcie są zaplanowane:</w:t>
            </w:r>
          </w:p>
          <w:p w14:paraId="44303CFA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1) w sposób celowy i oszczędny, z zachowaniem zasad:</w:t>
            </w:r>
          </w:p>
          <w:p w14:paraId="09A01013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a) uzyskiwania najlepszych efektów z danych nakładów,</w:t>
            </w:r>
          </w:p>
          <w:p w14:paraId="5C9566CB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b) optymalnego doboru metod i środków służących osiągnięciu założonych celów,</w:t>
            </w:r>
          </w:p>
          <w:p w14:paraId="6A9554EE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2) w sposób umożliwiający terminową realizację zadań.</w:t>
            </w:r>
          </w:p>
          <w:p w14:paraId="7DE830D5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3C64B141" w14:textId="74603C2B" w:rsidR="00E96CFE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Wydatki kwalifikowalne w projekcie są zgodne z warunkami i procedurami dotyczącymi kwalifikowalności określonymi we właściwych aktach normatywnych i</w:t>
            </w:r>
            <w:r w:rsidR="00891C86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wytycznych ministra właściwego ds. rozwoju regionalnego</w:t>
            </w:r>
            <w:r w:rsidR="00891C86">
              <w:rPr>
                <w:rFonts w:cstheme="minorHAnsi"/>
                <w:sz w:val="20"/>
                <w:szCs w:val="20"/>
              </w:rPr>
              <w:t>, w tym</w:t>
            </w:r>
            <w:r w:rsidRPr="003B6B28">
              <w:rPr>
                <w:rFonts w:cstheme="minorHAnsi"/>
                <w:sz w:val="20"/>
                <w:szCs w:val="20"/>
              </w:rPr>
              <w:t xml:space="preserve"> obowiązujących dla projektów przyjmowanych i realizowanych na rzecz walki z COVID19</w:t>
            </w:r>
            <w:r w:rsidR="00891C86">
              <w:rPr>
                <w:rFonts w:cstheme="minorHAnsi"/>
                <w:sz w:val="20"/>
                <w:szCs w:val="20"/>
              </w:rPr>
              <w:t xml:space="preserve"> oraz w regulaminie naboru.</w:t>
            </w:r>
          </w:p>
          <w:p w14:paraId="458FC913" w14:textId="77777777" w:rsidR="00BB529B" w:rsidRPr="003B6B28" w:rsidRDefault="00BB529B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7DF0EAAB" w14:textId="77777777" w:rsidR="00E96CFE" w:rsidRPr="003B6B28" w:rsidRDefault="00E96CFE" w:rsidP="005423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3" w:type="pct"/>
          </w:tcPr>
          <w:p w14:paraId="1E679D15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Spełnienie kryterium jest konieczne do przyznania dofinansowania.</w:t>
            </w:r>
          </w:p>
          <w:p w14:paraId="0801E4F5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Projekty niespełniające kryterium są odrzucane.</w:t>
            </w:r>
          </w:p>
          <w:p w14:paraId="4BB93291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1AD5BAEC" w14:textId="6365A27B" w:rsidR="00E96CFE" w:rsidRPr="003B6B28" w:rsidRDefault="00E96CFE" w:rsidP="00BB529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Istnieje możliwość uzupełnienia lub poprawienia wniosku o dofinansowanie w ramach tego kryterium, zgodnie z procedurą i w zakresie uregulowanym w regulaminie naboru.</w:t>
            </w:r>
          </w:p>
        </w:tc>
      </w:tr>
      <w:tr w:rsidR="00E96CFE" w:rsidRPr="003B6B28" w14:paraId="75B13BAD" w14:textId="77777777" w:rsidTr="00B22F9D">
        <w:trPr>
          <w:trHeight w:val="2177"/>
        </w:trPr>
        <w:tc>
          <w:tcPr>
            <w:tcW w:w="162" w:type="pct"/>
          </w:tcPr>
          <w:p w14:paraId="4096BBC3" w14:textId="77777777" w:rsidR="00E96CFE" w:rsidRPr="003B6B28" w:rsidRDefault="003B1C9F" w:rsidP="00542392">
            <w:pPr>
              <w:spacing w:before="40" w:after="4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lastRenderedPageBreak/>
              <w:t>2.3</w:t>
            </w:r>
          </w:p>
        </w:tc>
        <w:tc>
          <w:tcPr>
            <w:tcW w:w="890" w:type="pct"/>
          </w:tcPr>
          <w:p w14:paraId="71AE0A71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Intensywność wsparcia</w:t>
            </w:r>
          </w:p>
        </w:tc>
        <w:tc>
          <w:tcPr>
            <w:tcW w:w="2535" w:type="pct"/>
          </w:tcPr>
          <w:p w14:paraId="3CD392C1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Maksymalny poziom dofinansowania projektu ze środków</w:t>
            </w:r>
            <w:r w:rsidR="003B1C9F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EFRR wynosi 100% całkowitych wydatków</w:t>
            </w:r>
            <w:r w:rsidR="003B1C9F" w:rsidRPr="003B6B28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kwalifikowalnych projektu.</w:t>
            </w:r>
          </w:p>
        </w:tc>
        <w:tc>
          <w:tcPr>
            <w:tcW w:w="1413" w:type="pct"/>
          </w:tcPr>
          <w:p w14:paraId="1BB1B9C7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Spełnienie kryterium jest konieczne do przyznania dofinansowania.</w:t>
            </w:r>
          </w:p>
          <w:p w14:paraId="0C30BB99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Projekty niespełniające kryterium są odrzucane.</w:t>
            </w:r>
          </w:p>
          <w:p w14:paraId="449987D1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50FC2F59" w14:textId="4D1723B9" w:rsidR="00E96CFE" w:rsidRPr="003B6B28" w:rsidRDefault="00E96CFE" w:rsidP="00BB529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Istnieje możliwość uzupełnienia lub poprawienia wniosku o dofinansowanie w ramach tego kryterium, zgodnie z procedurą i w zakresie uregulowanym w regulaminie naboru.</w:t>
            </w:r>
          </w:p>
        </w:tc>
      </w:tr>
      <w:tr w:rsidR="00E96CFE" w:rsidRPr="003B6B28" w14:paraId="1479C43A" w14:textId="77777777" w:rsidTr="00B22F9D">
        <w:trPr>
          <w:trHeight w:val="2177"/>
        </w:trPr>
        <w:tc>
          <w:tcPr>
            <w:tcW w:w="162" w:type="pct"/>
          </w:tcPr>
          <w:p w14:paraId="6E396365" w14:textId="49A7344A" w:rsidR="00E96CFE" w:rsidRPr="003B6B28" w:rsidRDefault="003B6B28" w:rsidP="00542392">
            <w:pPr>
              <w:spacing w:before="40" w:after="4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2.4</w:t>
            </w:r>
          </w:p>
        </w:tc>
        <w:tc>
          <w:tcPr>
            <w:tcW w:w="890" w:type="pct"/>
          </w:tcPr>
          <w:p w14:paraId="2AA713AD" w14:textId="77777777" w:rsidR="00E96CFE" w:rsidRPr="00AD536F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D536F">
              <w:rPr>
                <w:rFonts w:cstheme="minorHAnsi"/>
                <w:sz w:val="20"/>
                <w:szCs w:val="20"/>
              </w:rPr>
              <w:t>Poprawność okresu realizacji</w:t>
            </w:r>
          </w:p>
        </w:tc>
        <w:tc>
          <w:tcPr>
            <w:tcW w:w="2535" w:type="pct"/>
          </w:tcPr>
          <w:p w14:paraId="3B37B7F6" w14:textId="7AD0EA73" w:rsidR="00AD536F" w:rsidRPr="00AD536F" w:rsidRDefault="00AD536F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D536F">
              <w:rPr>
                <w:rFonts w:cstheme="minorHAnsi"/>
                <w:sz w:val="20"/>
                <w:szCs w:val="20"/>
              </w:rPr>
              <w:t xml:space="preserve">Projekt może być realizowany w okresie od 1 czerwca 2020 r. do 31 marca 2021 r. </w:t>
            </w:r>
          </w:p>
          <w:p w14:paraId="57E68DB2" w14:textId="61EFCDD2" w:rsidR="00AD536F" w:rsidRPr="00AD536F" w:rsidRDefault="00AD536F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D536F">
              <w:rPr>
                <w:rFonts w:cstheme="minorHAnsi"/>
                <w:sz w:val="20"/>
                <w:szCs w:val="20"/>
              </w:rPr>
              <w:t>W uzasadnionych przypadkach na etapie realizacji projektu na wniosek lub za zgodą IZ, dopuszcza się możliwość odstępstwa w zakresie warunku zakończenia projektu do  31 marca 2021 roku.</w:t>
            </w:r>
          </w:p>
          <w:p w14:paraId="4D7DF18D" w14:textId="77777777" w:rsidR="00AD536F" w:rsidRPr="00AD536F" w:rsidRDefault="00AD536F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39ACA43E" w14:textId="3CCC6576" w:rsidR="00E96CFE" w:rsidRPr="00AD536F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D536F">
              <w:rPr>
                <w:rFonts w:cstheme="minorHAnsi"/>
                <w:sz w:val="20"/>
                <w:szCs w:val="20"/>
              </w:rPr>
              <w:t>Harmonogram projek</w:t>
            </w:r>
            <w:r w:rsidR="003B1C9F" w:rsidRPr="00AD536F">
              <w:rPr>
                <w:rFonts w:cstheme="minorHAnsi"/>
                <w:sz w:val="20"/>
                <w:szCs w:val="20"/>
              </w:rPr>
              <w:t xml:space="preserve">tu został zaplanowany realnie i </w:t>
            </w:r>
            <w:r w:rsidRPr="00AD536F">
              <w:rPr>
                <w:rFonts w:cstheme="minorHAnsi"/>
                <w:sz w:val="20"/>
                <w:szCs w:val="20"/>
              </w:rPr>
              <w:t>racjonalnie.</w:t>
            </w:r>
            <w:r w:rsidR="00B22F9D">
              <w:rPr>
                <w:rFonts w:cstheme="minorHAnsi"/>
                <w:sz w:val="20"/>
                <w:szCs w:val="20"/>
              </w:rPr>
              <w:t xml:space="preserve"> </w:t>
            </w:r>
            <w:r w:rsidRPr="00AD536F">
              <w:rPr>
                <w:rFonts w:cstheme="minorHAnsi"/>
                <w:sz w:val="20"/>
                <w:szCs w:val="20"/>
              </w:rPr>
              <w:t>Wszystkie etapy projektu są logicznie powiązane.</w:t>
            </w:r>
          </w:p>
        </w:tc>
        <w:tc>
          <w:tcPr>
            <w:tcW w:w="1413" w:type="pct"/>
          </w:tcPr>
          <w:p w14:paraId="2F25C208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Spełnienie kryterium jest konieczne do przyznania dofinansowania.</w:t>
            </w:r>
          </w:p>
          <w:p w14:paraId="569168C6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Projekty niespełniające kryterium są odrzucane.</w:t>
            </w:r>
          </w:p>
          <w:p w14:paraId="236D52CA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340DE793" w14:textId="77777777" w:rsidR="00E96CFE" w:rsidRPr="003B6B28" w:rsidRDefault="00E96CFE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Istnieje możliwość uzupełnienia lub poprawienia wniosku o dofinansowanie w ramach tego kryterium, zgodnie z procedurą i w zakresie uregulowanym w regulaminie konkursu/naboru.</w:t>
            </w:r>
          </w:p>
        </w:tc>
      </w:tr>
    </w:tbl>
    <w:p w14:paraId="1E69A609" w14:textId="77777777" w:rsidR="007F380F" w:rsidRDefault="007F380F">
      <w:pPr>
        <w:rPr>
          <w:rFonts w:asciiTheme="minorHAnsi" w:hAnsiTheme="minorHAnsi" w:cstheme="minorHAnsi"/>
          <w:sz w:val="20"/>
          <w:szCs w:val="20"/>
        </w:rPr>
      </w:pPr>
    </w:p>
    <w:p w14:paraId="4AD3C56A" w14:textId="77777777" w:rsidR="003B6B28" w:rsidRDefault="003B6B28">
      <w:pPr>
        <w:rPr>
          <w:rFonts w:asciiTheme="minorHAnsi" w:hAnsiTheme="minorHAnsi" w:cstheme="minorHAnsi"/>
          <w:sz w:val="20"/>
          <w:szCs w:val="20"/>
        </w:rPr>
      </w:pPr>
    </w:p>
    <w:p w14:paraId="39495F68" w14:textId="77777777" w:rsidR="003B6B28" w:rsidRDefault="003B6B28">
      <w:pPr>
        <w:rPr>
          <w:rFonts w:asciiTheme="minorHAnsi" w:hAnsiTheme="minorHAnsi" w:cstheme="minorHAnsi"/>
          <w:sz w:val="20"/>
          <w:szCs w:val="20"/>
        </w:rPr>
      </w:pPr>
    </w:p>
    <w:p w14:paraId="4EDDE1D6" w14:textId="77777777" w:rsidR="003B6B28" w:rsidRDefault="003B6B28">
      <w:pPr>
        <w:rPr>
          <w:rFonts w:asciiTheme="minorHAnsi" w:hAnsiTheme="minorHAnsi" w:cstheme="minorHAnsi"/>
          <w:sz w:val="20"/>
          <w:szCs w:val="20"/>
        </w:rPr>
      </w:pPr>
    </w:p>
    <w:p w14:paraId="312DAC67" w14:textId="77777777" w:rsidR="003B6B28" w:rsidRDefault="003B6B28">
      <w:pPr>
        <w:rPr>
          <w:rFonts w:asciiTheme="minorHAnsi" w:hAnsiTheme="minorHAnsi" w:cstheme="minorHAnsi"/>
          <w:sz w:val="20"/>
          <w:szCs w:val="20"/>
        </w:rPr>
      </w:pPr>
    </w:p>
    <w:p w14:paraId="403BC735" w14:textId="77777777" w:rsidR="003B6B28" w:rsidRDefault="003B6B28">
      <w:pPr>
        <w:rPr>
          <w:rFonts w:asciiTheme="minorHAnsi" w:hAnsiTheme="minorHAnsi" w:cstheme="minorHAnsi"/>
          <w:sz w:val="20"/>
          <w:szCs w:val="20"/>
        </w:rPr>
      </w:pPr>
    </w:p>
    <w:p w14:paraId="50560349" w14:textId="77777777" w:rsidR="003B6B28" w:rsidRDefault="003B6B28">
      <w:pPr>
        <w:rPr>
          <w:rFonts w:asciiTheme="minorHAnsi" w:hAnsiTheme="minorHAnsi" w:cstheme="minorHAnsi"/>
          <w:sz w:val="20"/>
          <w:szCs w:val="20"/>
        </w:rPr>
      </w:pPr>
    </w:p>
    <w:p w14:paraId="085D3AFC" w14:textId="77777777" w:rsidR="00B22F9D" w:rsidRPr="003B6B28" w:rsidRDefault="00B22F9D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2"/>
        <w:tblW w:w="5211" w:type="pct"/>
        <w:tblInd w:w="-601" w:type="dxa"/>
        <w:tblLook w:val="04A0" w:firstRow="1" w:lastRow="0" w:firstColumn="1" w:lastColumn="0" w:noHBand="0" w:noVBand="1"/>
      </w:tblPr>
      <w:tblGrid>
        <w:gridCol w:w="480"/>
        <w:gridCol w:w="2638"/>
        <w:gridCol w:w="6805"/>
        <w:gridCol w:w="4897"/>
      </w:tblGrid>
      <w:tr w:rsidR="003B1C9F" w:rsidRPr="003B6B28" w14:paraId="4253231E" w14:textId="77777777" w:rsidTr="003B6B28">
        <w:trPr>
          <w:trHeight w:val="338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56136D40" w14:textId="77777777" w:rsidR="003B1C9F" w:rsidRPr="003B6B28" w:rsidRDefault="003B1C9F" w:rsidP="005423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lastRenderedPageBreak/>
              <w:t>Wykonalności</w:t>
            </w:r>
          </w:p>
        </w:tc>
      </w:tr>
      <w:tr w:rsidR="003B6B28" w:rsidRPr="003B6B28" w14:paraId="0A0AD9B5" w14:textId="77777777" w:rsidTr="00B22F9D">
        <w:trPr>
          <w:trHeight w:val="236"/>
          <w:tblHeader/>
        </w:trPr>
        <w:tc>
          <w:tcPr>
            <w:tcW w:w="162" w:type="pct"/>
          </w:tcPr>
          <w:p w14:paraId="744B0F76" w14:textId="77777777" w:rsidR="003B6B28" w:rsidRPr="003B6B28" w:rsidRDefault="003B6B28" w:rsidP="00210CD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890" w:type="pct"/>
          </w:tcPr>
          <w:p w14:paraId="7E9D1FD1" w14:textId="77777777" w:rsidR="003B6B28" w:rsidRPr="003B6B28" w:rsidRDefault="003B6B28" w:rsidP="00210CD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Nazwa kryterium</w:t>
            </w:r>
          </w:p>
        </w:tc>
        <w:tc>
          <w:tcPr>
            <w:tcW w:w="2296" w:type="pct"/>
          </w:tcPr>
          <w:p w14:paraId="6CDAA22A" w14:textId="77777777" w:rsidR="003B6B28" w:rsidRPr="003B6B28" w:rsidRDefault="003B6B28" w:rsidP="00210CD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Definicja kryterium</w:t>
            </w:r>
          </w:p>
        </w:tc>
        <w:tc>
          <w:tcPr>
            <w:tcW w:w="1652" w:type="pct"/>
          </w:tcPr>
          <w:p w14:paraId="1A8C0E3C" w14:textId="77777777" w:rsidR="003B6B28" w:rsidRPr="003B6B28" w:rsidRDefault="003B6B28" w:rsidP="00210CD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Opis znaczenia kryterium</w:t>
            </w:r>
          </w:p>
        </w:tc>
      </w:tr>
      <w:tr w:rsidR="003B6B28" w:rsidRPr="003B6B28" w14:paraId="5D8623CB" w14:textId="77777777" w:rsidTr="00B22F9D">
        <w:trPr>
          <w:trHeight w:val="253"/>
          <w:tblHeader/>
        </w:trPr>
        <w:tc>
          <w:tcPr>
            <w:tcW w:w="162" w:type="pct"/>
            <w:tcBorders>
              <w:bottom w:val="single" w:sz="4" w:space="0" w:color="auto"/>
            </w:tcBorders>
          </w:tcPr>
          <w:p w14:paraId="5D4EBA49" w14:textId="77777777" w:rsidR="003B6B28" w:rsidRPr="003B6B28" w:rsidRDefault="003B6B28" w:rsidP="00210CD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14:paraId="304D71F0" w14:textId="77777777" w:rsidR="003B6B28" w:rsidRPr="003B6B28" w:rsidRDefault="003B6B28" w:rsidP="00210CD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296" w:type="pct"/>
            <w:tcBorders>
              <w:bottom w:val="single" w:sz="4" w:space="0" w:color="auto"/>
            </w:tcBorders>
          </w:tcPr>
          <w:p w14:paraId="2618E1DA" w14:textId="77777777" w:rsidR="003B6B28" w:rsidRPr="003B6B28" w:rsidRDefault="003B6B28" w:rsidP="00210CD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652" w:type="pct"/>
            <w:tcBorders>
              <w:bottom w:val="single" w:sz="4" w:space="0" w:color="auto"/>
            </w:tcBorders>
          </w:tcPr>
          <w:p w14:paraId="239D1D9F" w14:textId="77777777" w:rsidR="003B6B28" w:rsidRPr="003B6B28" w:rsidRDefault="003B6B28" w:rsidP="00210CD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3B1C9F" w:rsidRPr="003B6B28" w14:paraId="65AB25A4" w14:textId="77777777" w:rsidTr="00B22F9D">
        <w:trPr>
          <w:trHeight w:val="1640"/>
        </w:trPr>
        <w:tc>
          <w:tcPr>
            <w:tcW w:w="162" w:type="pct"/>
          </w:tcPr>
          <w:p w14:paraId="0A76FAD6" w14:textId="77777777" w:rsidR="003B1C9F" w:rsidRPr="003B6B28" w:rsidRDefault="003B1C9F" w:rsidP="00542392">
            <w:pPr>
              <w:spacing w:before="40" w:after="4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3.1</w:t>
            </w:r>
          </w:p>
        </w:tc>
        <w:tc>
          <w:tcPr>
            <w:tcW w:w="890" w:type="pct"/>
          </w:tcPr>
          <w:p w14:paraId="11819B6B" w14:textId="77777777" w:rsidR="003B1C9F" w:rsidRPr="003B6B28" w:rsidRDefault="003B1C9F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Zgodność z przepisami</w:t>
            </w:r>
          </w:p>
          <w:p w14:paraId="343409C6" w14:textId="77777777" w:rsidR="003B1C9F" w:rsidRPr="003B6B28" w:rsidRDefault="003B1C9F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prawa krajowego i</w:t>
            </w:r>
          </w:p>
          <w:p w14:paraId="4B67C9B8" w14:textId="77777777" w:rsidR="003B1C9F" w:rsidRPr="003B6B28" w:rsidRDefault="003B1C9F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unijnego</w:t>
            </w:r>
          </w:p>
        </w:tc>
        <w:tc>
          <w:tcPr>
            <w:tcW w:w="2296" w:type="pct"/>
          </w:tcPr>
          <w:p w14:paraId="13D0B69D" w14:textId="35DC3456" w:rsidR="007C4AC5" w:rsidRPr="003B6B28" w:rsidRDefault="003B1C9F" w:rsidP="003B6B2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Ocenie podlega stan przygotowania projektu do realizacji w istniejącym otoczeniu prawnym, ze szczególnym uwzględnieniem aktó</w:t>
            </w:r>
            <w:r w:rsidR="005E4458" w:rsidRPr="003B6B28">
              <w:rPr>
                <w:rFonts w:cstheme="minorHAnsi"/>
                <w:sz w:val="20"/>
                <w:szCs w:val="20"/>
              </w:rPr>
              <w:t>w prawnych ustanawianych w na rzecz walki ze skutkami epidemii COVID-19</w:t>
            </w:r>
            <w:r w:rsidRPr="003B6B2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52" w:type="pct"/>
          </w:tcPr>
          <w:p w14:paraId="4B09CB33" w14:textId="77777777" w:rsidR="00BB529B" w:rsidRPr="00BB529B" w:rsidRDefault="00BB529B" w:rsidP="00BB529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B529B">
              <w:rPr>
                <w:rFonts w:cstheme="minorHAnsi"/>
                <w:sz w:val="20"/>
                <w:szCs w:val="20"/>
              </w:rPr>
              <w:t>Spełnienie kryterium jest konieczne do przyznania dofinansowania.</w:t>
            </w:r>
          </w:p>
          <w:p w14:paraId="51C546A8" w14:textId="77777777" w:rsidR="00BB529B" w:rsidRPr="00BB529B" w:rsidRDefault="00BB529B" w:rsidP="00BB529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B529B">
              <w:rPr>
                <w:rFonts w:cstheme="minorHAnsi"/>
                <w:sz w:val="20"/>
                <w:szCs w:val="20"/>
              </w:rPr>
              <w:t>Projekty niespełniające kryterium są odrzucane.</w:t>
            </w:r>
          </w:p>
          <w:p w14:paraId="183480C9" w14:textId="77777777" w:rsidR="00BB529B" w:rsidRPr="00BB529B" w:rsidRDefault="00BB529B" w:rsidP="00BB529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B529B">
              <w:rPr>
                <w:rFonts w:cstheme="minorHAnsi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76EC6352" w14:textId="6DD37F9B" w:rsidR="003B1C9F" w:rsidRPr="003B6B28" w:rsidRDefault="00BB529B" w:rsidP="00BB529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B529B">
              <w:rPr>
                <w:rFonts w:cstheme="minorHAnsi"/>
                <w:sz w:val="20"/>
                <w:szCs w:val="20"/>
              </w:rPr>
              <w:t>Istnieje możliwość uzupełnienia lub poprawienia wniosku o dofinansowanie w ramach tego kryterium, zgodnie z procedurą i w zakresie ureg</w:t>
            </w:r>
            <w:r>
              <w:rPr>
                <w:rFonts w:cstheme="minorHAnsi"/>
                <w:sz w:val="20"/>
                <w:szCs w:val="20"/>
              </w:rPr>
              <w:t xml:space="preserve">ulowanym w regulaminie </w:t>
            </w:r>
            <w:r w:rsidRPr="00BB529B">
              <w:rPr>
                <w:rFonts w:cstheme="minorHAnsi"/>
                <w:sz w:val="20"/>
                <w:szCs w:val="20"/>
              </w:rPr>
              <w:t>naboru.</w:t>
            </w:r>
          </w:p>
        </w:tc>
      </w:tr>
      <w:tr w:rsidR="005E4458" w:rsidRPr="003B6B28" w14:paraId="1F3EA315" w14:textId="77777777" w:rsidTr="00B22F9D">
        <w:trPr>
          <w:trHeight w:val="1559"/>
        </w:trPr>
        <w:tc>
          <w:tcPr>
            <w:tcW w:w="162" w:type="pct"/>
          </w:tcPr>
          <w:p w14:paraId="71CFF14C" w14:textId="77777777" w:rsidR="005E4458" w:rsidRPr="003B6B28" w:rsidRDefault="005E4458" w:rsidP="00542392">
            <w:pPr>
              <w:spacing w:before="40" w:after="4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3.2</w:t>
            </w:r>
          </w:p>
        </w:tc>
        <w:tc>
          <w:tcPr>
            <w:tcW w:w="890" w:type="pct"/>
          </w:tcPr>
          <w:p w14:paraId="5168DFF4" w14:textId="77777777" w:rsidR="005E4458" w:rsidRPr="003B6B28" w:rsidRDefault="005E4458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Zdolność operacyjna</w:t>
            </w:r>
          </w:p>
        </w:tc>
        <w:tc>
          <w:tcPr>
            <w:tcW w:w="2296" w:type="pct"/>
          </w:tcPr>
          <w:p w14:paraId="0A55DE88" w14:textId="35CB9BD4" w:rsidR="005E4458" w:rsidRPr="003B6B28" w:rsidRDefault="005E4458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>Wnioskodawca gwarantuje zdolności organizacyjne do</w:t>
            </w:r>
            <w:r w:rsidR="003F7C2A">
              <w:rPr>
                <w:rFonts w:cstheme="minorHAnsi"/>
                <w:sz w:val="20"/>
                <w:szCs w:val="20"/>
              </w:rPr>
              <w:t xml:space="preserve"> </w:t>
            </w:r>
            <w:r w:rsidRPr="003B6B28">
              <w:rPr>
                <w:rFonts w:cstheme="minorHAnsi"/>
                <w:sz w:val="20"/>
                <w:szCs w:val="20"/>
              </w:rPr>
              <w:t>realizacji projektu zgodnie z jego celem.</w:t>
            </w:r>
          </w:p>
          <w:p w14:paraId="1B46C5D3" w14:textId="4ACCD721" w:rsidR="005E4458" w:rsidRPr="003B6B28" w:rsidRDefault="005E4458" w:rsidP="002A5F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B28">
              <w:rPr>
                <w:rFonts w:cstheme="minorHAnsi"/>
                <w:sz w:val="20"/>
                <w:szCs w:val="20"/>
              </w:rPr>
              <w:t xml:space="preserve">Wnioskodawca zapewnia zasoby techniczne, kadrowe i wiedzę umożliwiające terminową realizację projektu </w:t>
            </w:r>
          </w:p>
        </w:tc>
        <w:tc>
          <w:tcPr>
            <w:tcW w:w="1652" w:type="pct"/>
          </w:tcPr>
          <w:p w14:paraId="3C1C74BC" w14:textId="77777777" w:rsidR="005470DD" w:rsidRPr="005470DD" w:rsidRDefault="005470DD" w:rsidP="005470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470DD">
              <w:rPr>
                <w:rFonts w:cstheme="minorHAnsi"/>
                <w:sz w:val="20"/>
                <w:szCs w:val="20"/>
              </w:rPr>
              <w:t>Spełnienie kryterium jest konieczne do przyznania dofinansowania.</w:t>
            </w:r>
          </w:p>
          <w:p w14:paraId="2AB71E26" w14:textId="77777777" w:rsidR="005470DD" w:rsidRPr="005470DD" w:rsidRDefault="005470DD" w:rsidP="005470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470DD">
              <w:rPr>
                <w:rFonts w:cstheme="minorHAnsi"/>
                <w:sz w:val="20"/>
                <w:szCs w:val="20"/>
              </w:rPr>
              <w:t>Projekty niespełniające kryterium są odrzucane.</w:t>
            </w:r>
          </w:p>
          <w:p w14:paraId="4E0C6714" w14:textId="77777777" w:rsidR="005470DD" w:rsidRPr="005470DD" w:rsidRDefault="005470DD" w:rsidP="005470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470DD">
              <w:rPr>
                <w:rFonts w:cstheme="minorHAnsi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225B2F9F" w14:textId="4CDB4AD9" w:rsidR="005E4458" w:rsidRPr="003B6B28" w:rsidRDefault="005470DD" w:rsidP="005470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470DD">
              <w:rPr>
                <w:rFonts w:cstheme="minorHAnsi"/>
                <w:sz w:val="20"/>
                <w:szCs w:val="20"/>
              </w:rPr>
              <w:t>Istnieje możliwość uzupełnienia lub poprawienia wniosku o dofinansowanie w ramach tego kryterium, zgodnie z procedurą i w zakresie uregulowanym w regulaminie naboru.</w:t>
            </w:r>
          </w:p>
        </w:tc>
      </w:tr>
      <w:tr w:rsidR="006A7612" w:rsidRPr="003B6B28" w14:paraId="4F1E568D" w14:textId="77777777" w:rsidTr="00B22F9D">
        <w:trPr>
          <w:trHeight w:val="1544"/>
        </w:trPr>
        <w:tc>
          <w:tcPr>
            <w:tcW w:w="162" w:type="pct"/>
          </w:tcPr>
          <w:p w14:paraId="4AEE347C" w14:textId="5BD09B76" w:rsidR="006A7612" w:rsidRDefault="00BB529B" w:rsidP="00542392">
            <w:pPr>
              <w:spacing w:before="40" w:after="4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</w:t>
            </w:r>
          </w:p>
        </w:tc>
        <w:tc>
          <w:tcPr>
            <w:tcW w:w="890" w:type="pct"/>
          </w:tcPr>
          <w:p w14:paraId="2F60664B" w14:textId="59EB33AA" w:rsidR="006A7612" w:rsidRPr="003B6B28" w:rsidRDefault="006A7612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Zdolność finansowa </w:t>
            </w:r>
          </w:p>
        </w:tc>
        <w:tc>
          <w:tcPr>
            <w:tcW w:w="2296" w:type="pct"/>
          </w:tcPr>
          <w:p w14:paraId="20411EA5" w14:textId="3FD264F6" w:rsidR="006A7612" w:rsidRPr="003B6B28" w:rsidRDefault="006A7612" w:rsidP="006A761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Wnioskodawca zapewni niezbędne środki finansowe do realizacji projektu w terminie i zgodnie z przyjętymi założeniami </w:t>
            </w:r>
          </w:p>
        </w:tc>
        <w:tc>
          <w:tcPr>
            <w:tcW w:w="1652" w:type="pct"/>
          </w:tcPr>
          <w:p w14:paraId="6B5709D6" w14:textId="77777777" w:rsidR="005470DD" w:rsidRPr="005470DD" w:rsidRDefault="005470DD" w:rsidP="005470D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470DD">
              <w:rPr>
                <w:rFonts w:cstheme="minorHAnsi"/>
                <w:sz w:val="20"/>
                <w:szCs w:val="20"/>
              </w:rPr>
              <w:t>Spełnienie kryterium jest konieczne do przyznania dofinansowania.</w:t>
            </w:r>
          </w:p>
          <w:p w14:paraId="05215440" w14:textId="77777777" w:rsidR="005470DD" w:rsidRPr="005470DD" w:rsidRDefault="005470DD" w:rsidP="005470D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470DD">
              <w:rPr>
                <w:rFonts w:cstheme="minorHAnsi"/>
                <w:sz w:val="20"/>
                <w:szCs w:val="20"/>
              </w:rPr>
              <w:t>Projekty niespełniające kryterium są odrzucane.</w:t>
            </w:r>
          </w:p>
          <w:p w14:paraId="6AA9D850" w14:textId="77777777" w:rsidR="005470DD" w:rsidRPr="005470DD" w:rsidRDefault="005470DD" w:rsidP="005470D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470DD">
              <w:rPr>
                <w:rFonts w:cstheme="minorHAnsi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7D4159C8" w14:textId="10DC76B1" w:rsidR="006A7612" w:rsidRPr="003B6B28" w:rsidRDefault="005470DD" w:rsidP="005470D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470DD">
              <w:rPr>
                <w:rFonts w:cstheme="minorHAnsi"/>
                <w:sz w:val="20"/>
                <w:szCs w:val="20"/>
              </w:rPr>
              <w:t>Istnieje możliwość uzupełnienia lub poprawienia wniosku o dofinansowanie w ramach tego kryterium, zgodnie z procedurą i w zakresie uregulowanym w regulaminie naboru.</w:t>
            </w:r>
          </w:p>
        </w:tc>
      </w:tr>
      <w:tr w:rsidR="005E4458" w:rsidRPr="003B6B28" w14:paraId="66104881" w14:textId="77777777" w:rsidTr="00B22F9D">
        <w:trPr>
          <w:trHeight w:val="1544"/>
        </w:trPr>
        <w:tc>
          <w:tcPr>
            <w:tcW w:w="162" w:type="pct"/>
          </w:tcPr>
          <w:p w14:paraId="389B08D9" w14:textId="753DCEB3" w:rsidR="005E4458" w:rsidRPr="003B6B28" w:rsidRDefault="0059240C" w:rsidP="00542392">
            <w:pPr>
              <w:spacing w:before="40" w:after="4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  <w:r w:rsidR="004173E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90" w:type="pct"/>
          </w:tcPr>
          <w:p w14:paraId="2EAF3DAE" w14:textId="4BBCAC05" w:rsidR="005E4458" w:rsidRPr="003B6B28" w:rsidRDefault="0087355F" w:rsidP="0054239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Wykonalność projektu </w:t>
            </w:r>
          </w:p>
        </w:tc>
        <w:tc>
          <w:tcPr>
            <w:tcW w:w="2296" w:type="pct"/>
          </w:tcPr>
          <w:p w14:paraId="79E4CE11" w14:textId="77777777" w:rsidR="005470DD" w:rsidRPr="00B22F9D" w:rsidRDefault="005470DD" w:rsidP="00B22F9D">
            <w:pPr>
              <w:spacing w:after="40"/>
              <w:rPr>
                <w:rFonts w:eastAsia="Times New Roman" w:cs="Arial"/>
                <w:sz w:val="20"/>
                <w:szCs w:val="20"/>
              </w:rPr>
            </w:pPr>
            <w:r w:rsidRPr="00B22F9D">
              <w:rPr>
                <w:rFonts w:eastAsia="Times New Roman" w:cs="Arial"/>
                <w:sz w:val="20"/>
                <w:szCs w:val="20"/>
              </w:rPr>
              <w:t>Wnioskodawca oszacował wskaźniki adekwatnie do zakresu i wartości dofinansowania projektu.</w:t>
            </w:r>
          </w:p>
          <w:p w14:paraId="72CE64A0" w14:textId="0214042E" w:rsidR="002A5F3D" w:rsidRPr="00B22F9D" w:rsidRDefault="005470DD" w:rsidP="00B22F9D">
            <w:pPr>
              <w:spacing w:after="40"/>
              <w:rPr>
                <w:rFonts w:eastAsia="Times New Roman" w:cs="Arial"/>
                <w:sz w:val="20"/>
                <w:szCs w:val="20"/>
              </w:rPr>
            </w:pPr>
            <w:r w:rsidRPr="00B22F9D">
              <w:rPr>
                <w:rFonts w:eastAsia="Times New Roman" w:cstheme="minorHAnsi"/>
                <w:sz w:val="20"/>
                <w:szCs w:val="20"/>
              </w:rPr>
              <w:t>Wnioskodawca prawidłowo oszacował i uzasadnił liczbę przedsiębiorców, którzy uzyskają wsparcie w postaci grantu</w:t>
            </w:r>
          </w:p>
        </w:tc>
        <w:tc>
          <w:tcPr>
            <w:tcW w:w="1652" w:type="pct"/>
          </w:tcPr>
          <w:p w14:paraId="00788A31" w14:textId="77777777" w:rsidR="005470DD" w:rsidRPr="005470DD" w:rsidRDefault="005470DD" w:rsidP="005470D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470DD">
              <w:rPr>
                <w:rFonts w:cstheme="minorHAnsi"/>
                <w:sz w:val="20"/>
                <w:szCs w:val="20"/>
              </w:rPr>
              <w:t>Spełnienie kryterium jest konieczne do przyznania dofinansowania.</w:t>
            </w:r>
          </w:p>
          <w:p w14:paraId="2B5A1DFE" w14:textId="77777777" w:rsidR="005470DD" w:rsidRPr="005470DD" w:rsidRDefault="005470DD" w:rsidP="005470D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470DD">
              <w:rPr>
                <w:rFonts w:cstheme="minorHAnsi"/>
                <w:sz w:val="20"/>
                <w:szCs w:val="20"/>
              </w:rPr>
              <w:t>Projekty niespełniające kryterium są odrzucane.</w:t>
            </w:r>
          </w:p>
          <w:p w14:paraId="3B3D68D9" w14:textId="77777777" w:rsidR="005470DD" w:rsidRPr="005470DD" w:rsidRDefault="005470DD" w:rsidP="005470D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470DD">
              <w:rPr>
                <w:rFonts w:cstheme="minorHAnsi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3A017C74" w14:textId="3DEC2E6D" w:rsidR="005E4458" w:rsidRPr="003B6B28" w:rsidRDefault="005470DD" w:rsidP="005470D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470DD">
              <w:rPr>
                <w:rFonts w:cstheme="minorHAnsi"/>
                <w:sz w:val="20"/>
                <w:szCs w:val="20"/>
              </w:rPr>
              <w:t xml:space="preserve">Istnieje możliwość uzupełnienia lub poprawienia wniosku </w:t>
            </w:r>
            <w:r w:rsidRPr="005470DD">
              <w:rPr>
                <w:rFonts w:cstheme="minorHAnsi"/>
                <w:sz w:val="20"/>
                <w:szCs w:val="20"/>
              </w:rPr>
              <w:lastRenderedPageBreak/>
              <w:t>o dofinansowanie w ramach tego kryterium, zgodnie z procedurą i w zakresie uregulowanym w regulaminie naboru.</w:t>
            </w:r>
          </w:p>
        </w:tc>
      </w:tr>
    </w:tbl>
    <w:p w14:paraId="19BA58F4" w14:textId="4A27B827" w:rsidR="003B1C9F" w:rsidRPr="003B6B28" w:rsidRDefault="003B1C9F" w:rsidP="003B1C9F">
      <w:pPr>
        <w:rPr>
          <w:rFonts w:asciiTheme="minorHAnsi" w:hAnsiTheme="minorHAnsi" w:cstheme="minorHAnsi"/>
          <w:sz w:val="20"/>
          <w:szCs w:val="20"/>
        </w:rPr>
      </w:pPr>
    </w:p>
    <w:p w14:paraId="1CF3452F" w14:textId="77777777" w:rsidR="003B1C9F" w:rsidRPr="003B6B28" w:rsidRDefault="003B1C9F" w:rsidP="003B1C9F">
      <w:pPr>
        <w:rPr>
          <w:rFonts w:asciiTheme="minorHAnsi" w:hAnsiTheme="minorHAnsi" w:cstheme="minorHAnsi"/>
          <w:sz w:val="20"/>
          <w:szCs w:val="20"/>
        </w:rPr>
      </w:pPr>
    </w:p>
    <w:p w14:paraId="3BB1ECEC" w14:textId="77777777" w:rsidR="003B1C9F" w:rsidRPr="003B6B28" w:rsidRDefault="003B1C9F">
      <w:pPr>
        <w:rPr>
          <w:rFonts w:asciiTheme="minorHAnsi" w:hAnsiTheme="minorHAnsi" w:cstheme="minorHAnsi"/>
          <w:sz w:val="20"/>
          <w:szCs w:val="20"/>
        </w:rPr>
      </w:pPr>
    </w:p>
    <w:p w14:paraId="33DAF333" w14:textId="77777777" w:rsidR="003B1C9F" w:rsidRPr="003B6B28" w:rsidRDefault="003B1C9F">
      <w:pPr>
        <w:rPr>
          <w:rFonts w:asciiTheme="minorHAnsi" w:hAnsiTheme="minorHAnsi" w:cstheme="minorHAnsi"/>
          <w:sz w:val="20"/>
          <w:szCs w:val="20"/>
        </w:rPr>
      </w:pPr>
    </w:p>
    <w:sectPr w:rsidR="003B1C9F" w:rsidRPr="003B6B28" w:rsidSect="00AD735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A458D6" w15:done="0"/>
  <w15:commentEx w15:paraId="316D6A03" w15:paraIdParent="0BA458D6" w15:done="0"/>
  <w15:commentEx w15:paraId="24DE40D7" w15:done="0"/>
  <w15:commentEx w15:paraId="12E2427F" w15:done="0"/>
  <w15:commentEx w15:paraId="20DA19B7" w15:done="0"/>
  <w15:commentEx w15:paraId="6A1940A5" w15:done="0"/>
  <w15:commentEx w15:paraId="18575A82" w15:done="0"/>
  <w15:commentEx w15:paraId="65D1D880" w15:done="0"/>
  <w15:commentEx w15:paraId="2CDF1A54" w15:done="0"/>
  <w15:commentEx w15:paraId="42E1109A" w15:paraIdParent="2CDF1A54" w15:done="0"/>
  <w15:commentEx w15:paraId="3E6B892E" w15:done="0"/>
  <w15:commentEx w15:paraId="6A43460B" w15:done="0"/>
  <w15:commentEx w15:paraId="3E7A8C04" w15:done="0"/>
  <w15:commentEx w15:paraId="0C002A8D" w15:done="0"/>
  <w15:commentEx w15:paraId="1D52BDFA" w15:done="0"/>
  <w15:commentEx w15:paraId="0EB47590" w15:done="0"/>
  <w15:commentEx w15:paraId="7E5A5B47" w15:done="0"/>
  <w15:commentEx w15:paraId="6B6CAD39" w15:done="0"/>
  <w15:commentEx w15:paraId="14A7E9DF" w15:done="0"/>
  <w15:commentEx w15:paraId="066CD3B9" w15:done="0"/>
  <w15:commentEx w15:paraId="433E5C6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77263" w14:textId="77777777" w:rsidR="00C716AE" w:rsidRDefault="00C716AE" w:rsidP="00AD7354">
      <w:pPr>
        <w:spacing w:after="0" w:line="240" w:lineRule="auto"/>
      </w:pPr>
      <w:r>
        <w:separator/>
      </w:r>
    </w:p>
  </w:endnote>
  <w:endnote w:type="continuationSeparator" w:id="0">
    <w:p w14:paraId="022E21A6" w14:textId="77777777" w:rsidR="00C716AE" w:rsidRDefault="00C716AE" w:rsidP="00AD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6B449" w14:textId="77777777" w:rsidR="00C716AE" w:rsidRDefault="00C716AE" w:rsidP="00AD7354">
      <w:pPr>
        <w:spacing w:after="0" w:line="240" w:lineRule="auto"/>
      </w:pPr>
      <w:r>
        <w:separator/>
      </w:r>
    </w:p>
  </w:footnote>
  <w:footnote w:type="continuationSeparator" w:id="0">
    <w:p w14:paraId="5693F1BD" w14:textId="77777777" w:rsidR="00C716AE" w:rsidRDefault="00C716AE" w:rsidP="00AD7354">
      <w:pPr>
        <w:spacing w:after="0" w:line="240" w:lineRule="auto"/>
      </w:pPr>
      <w:r>
        <w:continuationSeparator/>
      </w:r>
    </w:p>
  </w:footnote>
  <w:footnote w:id="1">
    <w:p w14:paraId="135DB5C0" w14:textId="77777777" w:rsidR="00FA0296" w:rsidRDefault="00FA0296" w:rsidP="00FA0296">
      <w:pPr>
        <w:tabs>
          <w:tab w:val="left" w:pos="142"/>
        </w:tabs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Z</w:t>
      </w:r>
      <w:r w:rsidRPr="00365281">
        <w:rPr>
          <w:rFonts w:ascii="Arial" w:hAnsi="Arial" w:cs="Arial"/>
          <w:sz w:val="16"/>
          <w:szCs w:val="16"/>
        </w:rPr>
        <w:t xml:space="preserve">godnie z rozporządzeniem </w:t>
      </w:r>
      <w:r w:rsidRPr="00365281">
        <w:rPr>
          <w:rFonts w:ascii="Arial" w:hAnsi="Arial" w:cs="Arial"/>
          <w:bCs/>
          <w:sz w:val="16"/>
          <w:szCs w:val="16"/>
        </w:rPr>
        <w:t>Parlamentu Europejskiego I Rady (</w:t>
      </w:r>
      <w:r w:rsidRPr="006E4AA9">
        <w:rPr>
          <w:rFonts w:ascii="Arial" w:hAnsi="Arial" w:cs="Arial"/>
          <w:bCs/>
          <w:sz w:val="16"/>
          <w:szCs w:val="16"/>
        </w:rPr>
        <w:t>UE</w:t>
      </w:r>
      <w:r w:rsidRPr="00365281">
        <w:rPr>
          <w:rFonts w:ascii="Arial" w:hAnsi="Arial" w:cs="Arial"/>
          <w:bCs/>
          <w:sz w:val="16"/>
          <w:szCs w:val="16"/>
        </w:rPr>
        <w:t xml:space="preserve">) </w:t>
      </w:r>
      <w:r w:rsidRPr="006E4AA9">
        <w:rPr>
          <w:rFonts w:ascii="Arial" w:hAnsi="Arial" w:cs="Arial"/>
          <w:bCs/>
          <w:sz w:val="16"/>
          <w:szCs w:val="16"/>
        </w:rPr>
        <w:t xml:space="preserve">2020/460 z dnia 30 marca 2020 r. (Inicjatywa inwestycyjna w odpowiedzi na </w:t>
      </w:r>
      <w:proofErr w:type="spellStart"/>
      <w:r w:rsidRPr="006E4AA9">
        <w:rPr>
          <w:rFonts w:ascii="Arial" w:hAnsi="Arial" w:cs="Arial"/>
          <w:bCs/>
          <w:sz w:val="16"/>
          <w:szCs w:val="16"/>
        </w:rPr>
        <w:t>koronawirusa</w:t>
      </w:r>
      <w:proofErr w:type="spellEnd"/>
      <w:r w:rsidRPr="006E4AA9">
        <w:rPr>
          <w:rFonts w:ascii="Arial" w:hAnsi="Arial" w:cs="Arial"/>
          <w:bCs/>
          <w:sz w:val="16"/>
          <w:szCs w:val="16"/>
        </w:rPr>
        <w:t>)</w:t>
      </w:r>
      <w:r w:rsidRPr="006E4AA9">
        <w:rPr>
          <w:rFonts w:ascii="Arial" w:hAnsi="Arial" w:cs="Arial"/>
          <w:sz w:val="16"/>
          <w:szCs w:val="16"/>
        </w:rPr>
        <w:t xml:space="preserve"> W rozporządzeniu (UE) nr 1301/2013 wprowadza się następujące zmiany: 1) w art. 3 ust. 1 dodaje się akapit w brzmieniu: „Ponadto EFRR może wspierać finansowanie kapitału obrotowego w MŚP w razie konieczności jako środek tymczasowy w celu zapewnienia skutecznej reakcji na kryzys w dziedzinie zdrowia publicznego”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871"/>
    <w:multiLevelType w:val="hybridMultilevel"/>
    <w:tmpl w:val="0F8E17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6B3A6C"/>
    <w:multiLevelType w:val="hybridMultilevel"/>
    <w:tmpl w:val="1A384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63A32"/>
    <w:multiLevelType w:val="hybridMultilevel"/>
    <w:tmpl w:val="8402A6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C539F"/>
    <w:multiLevelType w:val="hybridMultilevel"/>
    <w:tmpl w:val="909C5D8E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BE28FA"/>
    <w:multiLevelType w:val="hybridMultilevel"/>
    <w:tmpl w:val="D59A22F0"/>
    <w:lvl w:ilvl="0" w:tplc="9810239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D25E0D2A">
      <w:numFmt w:val="bullet"/>
      <w:lvlText w:val="•"/>
      <w:lvlJc w:val="left"/>
      <w:pPr>
        <w:ind w:left="2510" w:hanging="71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AF46AB"/>
    <w:multiLevelType w:val="hybridMultilevel"/>
    <w:tmpl w:val="85581CDA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0B30D7"/>
    <w:multiLevelType w:val="hybridMultilevel"/>
    <w:tmpl w:val="AC1AF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24AE0"/>
    <w:multiLevelType w:val="hybridMultilevel"/>
    <w:tmpl w:val="50F400D8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7138BF"/>
    <w:multiLevelType w:val="hybridMultilevel"/>
    <w:tmpl w:val="0F1AD348"/>
    <w:lvl w:ilvl="0" w:tplc="A0BCE1E8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>
    <w:nsid w:val="19F3342D"/>
    <w:multiLevelType w:val="hybridMultilevel"/>
    <w:tmpl w:val="D80848EA"/>
    <w:lvl w:ilvl="0" w:tplc="5E28AF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7E7A71"/>
    <w:multiLevelType w:val="hybridMultilevel"/>
    <w:tmpl w:val="2A9058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F8319D"/>
    <w:multiLevelType w:val="hybridMultilevel"/>
    <w:tmpl w:val="720A88DA"/>
    <w:lvl w:ilvl="0" w:tplc="792CFC7A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F10518"/>
    <w:multiLevelType w:val="hybridMultilevel"/>
    <w:tmpl w:val="52A264D6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6D2665"/>
    <w:multiLevelType w:val="hybridMultilevel"/>
    <w:tmpl w:val="78DE4DE2"/>
    <w:lvl w:ilvl="0" w:tplc="AC06106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8160E0"/>
    <w:multiLevelType w:val="hybridMultilevel"/>
    <w:tmpl w:val="9488C7D0"/>
    <w:lvl w:ilvl="0" w:tplc="A0BCE1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FB8191E"/>
    <w:multiLevelType w:val="hybridMultilevel"/>
    <w:tmpl w:val="F626A970"/>
    <w:lvl w:ilvl="0" w:tplc="B2A852D6">
      <w:start w:val="1"/>
      <w:numFmt w:val="decimal"/>
      <w:lvlText w:val="%1."/>
      <w:lvlJc w:val="left"/>
      <w:pPr>
        <w:ind w:left="1287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EDB3F12"/>
    <w:multiLevelType w:val="hybridMultilevel"/>
    <w:tmpl w:val="447008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15F5430"/>
    <w:multiLevelType w:val="hybridMultilevel"/>
    <w:tmpl w:val="884C4B7C"/>
    <w:lvl w:ilvl="0" w:tplc="549AFD28">
      <w:start w:val="1"/>
      <w:numFmt w:val="lowerLetter"/>
      <w:lvlText w:val="%1)"/>
      <w:lvlJc w:val="left"/>
      <w:pPr>
        <w:ind w:left="1069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4E25C7"/>
    <w:multiLevelType w:val="hybridMultilevel"/>
    <w:tmpl w:val="FCBA1E9A"/>
    <w:lvl w:ilvl="0" w:tplc="5E28A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924D7E"/>
    <w:multiLevelType w:val="hybridMultilevel"/>
    <w:tmpl w:val="2376F11C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DB7B32"/>
    <w:multiLevelType w:val="hybridMultilevel"/>
    <w:tmpl w:val="03A4FA92"/>
    <w:lvl w:ilvl="0" w:tplc="A0BCE1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42224C"/>
    <w:multiLevelType w:val="hybridMultilevel"/>
    <w:tmpl w:val="F1F49FBA"/>
    <w:lvl w:ilvl="0" w:tplc="A0BCE1E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3E366F57"/>
    <w:multiLevelType w:val="hybridMultilevel"/>
    <w:tmpl w:val="0F00B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93398"/>
    <w:multiLevelType w:val="hybridMultilevel"/>
    <w:tmpl w:val="FDF89E0A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ED787F"/>
    <w:multiLevelType w:val="hybridMultilevel"/>
    <w:tmpl w:val="01A468F0"/>
    <w:lvl w:ilvl="0" w:tplc="AC06106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41C61"/>
    <w:multiLevelType w:val="hybridMultilevel"/>
    <w:tmpl w:val="2672606A"/>
    <w:lvl w:ilvl="0" w:tplc="0415000F">
      <w:start w:val="1"/>
      <w:numFmt w:val="decimal"/>
      <w:lvlText w:val="%1."/>
      <w:lvlJc w:val="left"/>
      <w:pPr>
        <w:ind w:left="940" w:hanging="360"/>
      </w:pPr>
      <w:rPr>
        <w:rFonts w:ascii="Arial" w:eastAsia="Calibri" w:hAnsi="Arial" w:cs="Arial"/>
        <w:b w:val="0"/>
        <w:i w:val="0"/>
        <w:strike w:val="0"/>
      </w:rPr>
    </w:lvl>
    <w:lvl w:ilvl="1" w:tplc="04AC9158">
      <w:start w:val="1"/>
      <w:numFmt w:val="lowerLetter"/>
      <w:lvlText w:val="%2)"/>
      <w:lvlJc w:val="left"/>
      <w:pPr>
        <w:ind w:left="927" w:hanging="360"/>
      </w:pPr>
      <w:rPr>
        <w:rFonts w:hint="default"/>
        <w:color w:val="auto"/>
      </w:rPr>
    </w:lvl>
    <w:lvl w:ilvl="2" w:tplc="A7FE5788">
      <w:start w:val="1"/>
      <w:numFmt w:val="bullet"/>
      <w:lvlText w:val=""/>
      <w:lvlJc w:val="left"/>
      <w:pPr>
        <w:ind w:left="2494" w:hanging="360"/>
      </w:pPr>
      <w:rPr>
        <w:rFonts w:ascii="Symbol" w:eastAsia="Calibr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26">
    <w:nsid w:val="49297465"/>
    <w:multiLevelType w:val="hybridMultilevel"/>
    <w:tmpl w:val="54B2A0C6"/>
    <w:lvl w:ilvl="0" w:tplc="F252DD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6F012D"/>
    <w:multiLevelType w:val="hybridMultilevel"/>
    <w:tmpl w:val="70500D08"/>
    <w:lvl w:ilvl="0" w:tplc="5E28A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983739"/>
    <w:multiLevelType w:val="hybridMultilevel"/>
    <w:tmpl w:val="64ACA022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FA547A"/>
    <w:multiLevelType w:val="hybridMultilevel"/>
    <w:tmpl w:val="29005A10"/>
    <w:lvl w:ilvl="0" w:tplc="5E28A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7E6B19"/>
    <w:multiLevelType w:val="hybridMultilevel"/>
    <w:tmpl w:val="BCC695D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5DD662B0">
      <w:start w:val="1"/>
      <w:numFmt w:val="decimal"/>
      <w:lvlText w:val="%2."/>
      <w:lvlJc w:val="left"/>
      <w:pPr>
        <w:ind w:left="1080" w:hanging="360"/>
      </w:pPr>
      <w:rPr>
        <w:rFonts w:asciiTheme="minorHAnsi" w:eastAsia="Times New Roman" w:hAnsiTheme="minorHAnsi" w:cstheme="minorHAnsi"/>
        <w:b w:val="0"/>
        <w:i w:val="0"/>
      </w:rPr>
    </w:lvl>
    <w:lvl w:ilvl="2" w:tplc="0C569E06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1305A42"/>
    <w:multiLevelType w:val="hybridMultilevel"/>
    <w:tmpl w:val="631EF47E"/>
    <w:lvl w:ilvl="0" w:tplc="5E28A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981B5B"/>
    <w:multiLevelType w:val="hybridMultilevel"/>
    <w:tmpl w:val="3EF25452"/>
    <w:lvl w:ilvl="0" w:tplc="488C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E115E9"/>
    <w:multiLevelType w:val="hybridMultilevel"/>
    <w:tmpl w:val="62723FBC"/>
    <w:lvl w:ilvl="0" w:tplc="9F3673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7A734D"/>
    <w:multiLevelType w:val="hybridMultilevel"/>
    <w:tmpl w:val="5B0C3A8E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7520CCF"/>
    <w:multiLevelType w:val="hybridMultilevel"/>
    <w:tmpl w:val="C4384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6A10A3"/>
    <w:multiLevelType w:val="hybridMultilevel"/>
    <w:tmpl w:val="072C5EFC"/>
    <w:lvl w:ilvl="0" w:tplc="488C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8E4FC9"/>
    <w:multiLevelType w:val="hybridMultilevel"/>
    <w:tmpl w:val="884C4B7C"/>
    <w:lvl w:ilvl="0" w:tplc="549AFD28">
      <w:start w:val="1"/>
      <w:numFmt w:val="lowerLetter"/>
      <w:lvlText w:val="%1)"/>
      <w:lvlJc w:val="left"/>
      <w:pPr>
        <w:ind w:left="1069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8755D3"/>
    <w:multiLevelType w:val="hybridMultilevel"/>
    <w:tmpl w:val="A54A761A"/>
    <w:lvl w:ilvl="0" w:tplc="A7FE578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3C19B6"/>
    <w:multiLevelType w:val="hybridMultilevel"/>
    <w:tmpl w:val="D758E22C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5A5886"/>
    <w:multiLevelType w:val="hybridMultilevel"/>
    <w:tmpl w:val="1AEAE72E"/>
    <w:lvl w:ilvl="0" w:tplc="A0BCE1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0FF3068"/>
    <w:multiLevelType w:val="hybridMultilevel"/>
    <w:tmpl w:val="6F1A99A2"/>
    <w:lvl w:ilvl="0" w:tplc="0415000F">
      <w:start w:val="1"/>
      <w:numFmt w:val="decimal"/>
      <w:lvlText w:val="%1."/>
      <w:lvlJc w:val="left"/>
      <w:pPr>
        <w:ind w:left="758" w:hanging="360"/>
      </w:p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42">
    <w:nsid w:val="736C42F0"/>
    <w:multiLevelType w:val="hybridMultilevel"/>
    <w:tmpl w:val="79808DAC"/>
    <w:lvl w:ilvl="0" w:tplc="A0BCE1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51904AA"/>
    <w:multiLevelType w:val="hybridMultilevel"/>
    <w:tmpl w:val="49582A8A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AE31F8"/>
    <w:multiLevelType w:val="hybridMultilevel"/>
    <w:tmpl w:val="906A96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75724A7"/>
    <w:multiLevelType w:val="hybridMultilevel"/>
    <w:tmpl w:val="909298D6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8B0330"/>
    <w:multiLevelType w:val="hybridMultilevel"/>
    <w:tmpl w:val="ED0A424A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2C3B1A"/>
    <w:multiLevelType w:val="hybridMultilevel"/>
    <w:tmpl w:val="2E76D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00683B"/>
    <w:multiLevelType w:val="hybridMultilevel"/>
    <w:tmpl w:val="D7428034"/>
    <w:lvl w:ilvl="0" w:tplc="5E28A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24"/>
  </w:num>
  <w:num w:numId="4">
    <w:abstractNumId w:val="13"/>
  </w:num>
  <w:num w:numId="5">
    <w:abstractNumId w:val="22"/>
  </w:num>
  <w:num w:numId="6">
    <w:abstractNumId w:val="6"/>
  </w:num>
  <w:num w:numId="7">
    <w:abstractNumId w:val="32"/>
  </w:num>
  <w:num w:numId="8">
    <w:abstractNumId w:val="37"/>
  </w:num>
  <w:num w:numId="9">
    <w:abstractNumId w:val="17"/>
  </w:num>
  <w:num w:numId="10">
    <w:abstractNumId w:val="19"/>
  </w:num>
  <w:num w:numId="11">
    <w:abstractNumId w:val="3"/>
  </w:num>
  <w:num w:numId="12">
    <w:abstractNumId w:val="7"/>
  </w:num>
  <w:num w:numId="13">
    <w:abstractNumId w:val="46"/>
  </w:num>
  <w:num w:numId="14">
    <w:abstractNumId w:val="40"/>
  </w:num>
  <w:num w:numId="15">
    <w:abstractNumId w:val="16"/>
  </w:num>
  <w:num w:numId="16">
    <w:abstractNumId w:val="39"/>
  </w:num>
  <w:num w:numId="17">
    <w:abstractNumId w:val="14"/>
  </w:num>
  <w:num w:numId="18">
    <w:abstractNumId w:val="26"/>
  </w:num>
  <w:num w:numId="19">
    <w:abstractNumId w:val="8"/>
  </w:num>
  <w:num w:numId="20">
    <w:abstractNumId w:val="43"/>
  </w:num>
  <w:num w:numId="21">
    <w:abstractNumId w:val="42"/>
  </w:num>
  <w:num w:numId="22">
    <w:abstractNumId w:val="20"/>
  </w:num>
  <w:num w:numId="23">
    <w:abstractNumId w:val="23"/>
  </w:num>
  <w:num w:numId="24">
    <w:abstractNumId w:val="12"/>
  </w:num>
  <w:num w:numId="25">
    <w:abstractNumId w:val="11"/>
  </w:num>
  <w:num w:numId="26">
    <w:abstractNumId w:val="44"/>
  </w:num>
  <w:num w:numId="27">
    <w:abstractNumId w:val="28"/>
  </w:num>
  <w:num w:numId="28">
    <w:abstractNumId w:val="41"/>
  </w:num>
  <w:num w:numId="29">
    <w:abstractNumId w:val="5"/>
  </w:num>
  <w:num w:numId="30">
    <w:abstractNumId w:val="47"/>
  </w:num>
  <w:num w:numId="31">
    <w:abstractNumId w:val="1"/>
  </w:num>
  <w:num w:numId="32">
    <w:abstractNumId w:val="48"/>
  </w:num>
  <w:num w:numId="33">
    <w:abstractNumId w:val="9"/>
  </w:num>
  <w:num w:numId="34">
    <w:abstractNumId w:val="18"/>
  </w:num>
  <w:num w:numId="35">
    <w:abstractNumId w:val="31"/>
  </w:num>
  <w:num w:numId="36">
    <w:abstractNumId w:val="27"/>
  </w:num>
  <w:num w:numId="37">
    <w:abstractNumId w:val="29"/>
  </w:num>
  <w:num w:numId="38">
    <w:abstractNumId w:val="31"/>
  </w:num>
  <w:num w:numId="39">
    <w:abstractNumId w:val="4"/>
  </w:num>
  <w:num w:numId="40">
    <w:abstractNumId w:val="35"/>
  </w:num>
  <w:num w:numId="41">
    <w:abstractNumId w:val="30"/>
  </w:num>
  <w:num w:numId="42">
    <w:abstractNumId w:val="45"/>
  </w:num>
  <w:num w:numId="43">
    <w:abstractNumId w:val="10"/>
  </w:num>
  <w:num w:numId="44">
    <w:abstractNumId w:val="25"/>
    <w:lvlOverride w:ilvl="0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1"/>
  </w:num>
  <w:num w:numId="47">
    <w:abstractNumId w:val="36"/>
  </w:num>
  <w:num w:numId="48">
    <w:abstractNumId w:val="33"/>
  </w:num>
  <w:num w:numId="49">
    <w:abstractNumId w:val="34"/>
  </w:num>
  <w:num w:numId="50">
    <w:abstractNumId w:val="2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orota Korenicka">
    <w15:presenceInfo w15:providerId="Windows Live" w15:userId="558ad69307a630c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54"/>
    <w:rsid w:val="0000507B"/>
    <w:rsid w:val="00011F3C"/>
    <w:rsid w:val="00042B91"/>
    <w:rsid w:val="0005350C"/>
    <w:rsid w:val="0007499A"/>
    <w:rsid w:val="00075FFD"/>
    <w:rsid w:val="000C3572"/>
    <w:rsid w:val="000F21B0"/>
    <w:rsid w:val="00106DFE"/>
    <w:rsid w:val="00120D66"/>
    <w:rsid w:val="00127C96"/>
    <w:rsid w:val="001403C8"/>
    <w:rsid w:val="00176D45"/>
    <w:rsid w:val="001B53A7"/>
    <w:rsid w:val="001B7525"/>
    <w:rsid w:val="002056E5"/>
    <w:rsid w:val="00226D7B"/>
    <w:rsid w:val="002370B2"/>
    <w:rsid w:val="00264D04"/>
    <w:rsid w:val="00270B47"/>
    <w:rsid w:val="002736D2"/>
    <w:rsid w:val="00285E9D"/>
    <w:rsid w:val="002A5F3D"/>
    <w:rsid w:val="002D3E33"/>
    <w:rsid w:val="00317989"/>
    <w:rsid w:val="003B1C9F"/>
    <w:rsid w:val="003B6B28"/>
    <w:rsid w:val="003C3E57"/>
    <w:rsid w:val="003C7FEE"/>
    <w:rsid w:val="003D039E"/>
    <w:rsid w:val="003F7C2A"/>
    <w:rsid w:val="0041690F"/>
    <w:rsid w:val="004173EA"/>
    <w:rsid w:val="00452F7E"/>
    <w:rsid w:val="004623DB"/>
    <w:rsid w:val="00477D09"/>
    <w:rsid w:val="0049253A"/>
    <w:rsid w:val="004C38CC"/>
    <w:rsid w:val="004D027E"/>
    <w:rsid w:val="004F165E"/>
    <w:rsid w:val="0052160B"/>
    <w:rsid w:val="00523CA9"/>
    <w:rsid w:val="00530BA1"/>
    <w:rsid w:val="00530C68"/>
    <w:rsid w:val="00542392"/>
    <w:rsid w:val="005470DD"/>
    <w:rsid w:val="00551DBE"/>
    <w:rsid w:val="0058733A"/>
    <w:rsid w:val="0059240C"/>
    <w:rsid w:val="005E4458"/>
    <w:rsid w:val="0065286A"/>
    <w:rsid w:val="006752FB"/>
    <w:rsid w:val="00683D44"/>
    <w:rsid w:val="00694363"/>
    <w:rsid w:val="0069784E"/>
    <w:rsid w:val="006A6DCD"/>
    <w:rsid w:val="006A7612"/>
    <w:rsid w:val="006B57EB"/>
    <w:rsid w:val="006E1DFA"/>
    <w:rsid w:val="006E3734"/>
    <w:rsid w:val="006F2EB4"/>
    <w:rsid w:val="00702CAC"/>
    <w:rsid w:val="00712D28"/>
    <w:rsid w:val="007208B2"/>
    <w:rsid w:val="00741A93"/>
    <w:rsid w:val="007618B9"/>
    <w:rsid w:val="00762CC9"/>
    <w:rsid w:val="00770639"/>
    <w:rsid w:val="007B50CD"/>
    <w:rsid w:val="007B6184"/>
    <w:rsid w:val="007C4AC5"/>
    <w:rsid w:val="007F1ADF"/>
    <w:rsid w:val="007F380F"/>
    <w:rsid w:val="00812CBB"/>
    <w:rsid w:val="00816674"/>
    <w:rsid w:val="00834E2E"/>
    <w:rsid w:val="00852D6A"/>
    <w:rsid w:val="0087355F"/>
    <w:rsid w:val="00885846"/>
    <w:rsid w:val="00891C86"/>
    <w:rsid w:val="00892B2F"/>
    <w:rsid w:val="008E5133"/>
    <w:rsid w:val="008F15BF"/>
    <w:rsid w:val="008F28D8"/>
    <w:rsid w:val="00915FBA"/>
    <w:rsid w:val="00931990"/>
    <w:rsid w:val="0093582A"/>
    <w:rsid w:val="00982CAB"/>
    <w:rsid w:val="00A020FB"/>
    <w:rsid w:val="00A300C1"/>
    <w:rsid w:val="00A37A05"/>
    <w:rsid w:val="00A548BF"/>
    <w:rsid w:val="00AA1294"/>
    <w:rsid w:val="00AA1B03"/>
    <w:rsid w:val="00AD536F"/>
    <w:rsid w:val="00AD7354"/>
    <w:rsid w:val="00AE2E88"/>
    <w:rsid w:val="00AE5D13"/>
    <w:rsid w:val="00B22D01"/>
    <w:rsid w:val="00B22F9D"/>
    <w:rsid w:val="00B35810"/>
    <w:rsid w:val="00B65137"/>
    <w:rsid w:val="00B70F88"/>
    <w:rsid w:val="00BB09CE"/>
    <w:rsid w:val="00BB529B"/>
    <w:rsid w:val="00BF66E1"/>
    <w:rsid w:val="00C305AD"/>
    <w:rsid w:val="00C716AE"/>
    <w:rsid w:val="00CA40F5"/>
    <w:rsid w:val="00CA6175"/>
    <w:rsid w:val="00CC7DD3"/>
    <w:rsid w:val="00D12994"/>
    <w:rsid w:val="00D256AE"/>
    <w:rsid w:val="00D97CFE"/>
    <w:rsid w:val="00D97D93"/>
    <w:rsid w:val="00DE0722"/>
    <w:rsid w:val="00DF6B2C"/>
    <w:rsid w:val="00E21CC2"/>
    <w:rsid w:val="00E30448"/>
    <w:rsid w:val="00E451A4"/>
    <w:rsid w:val="00E714EB"/>
    <w:rsid w:val="00E96CFE"/>
    <w:rsid w:val="00EB58AE"/>
    <w:rsid w:val="00EF19F3"/>
    <w:rsid w:val="00F02D9B"/>
    <w:rsid w:val="00F53C2A"/>
    <w:rsid w:val="00F64A83"/>
    <w:rsid w:val="00FA0296"/>
    <w:rsid w:val="00FA0A5A"/>
    <w:rsid w:val="00FA6F56"/>
    <w:rsid w:val="00FE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D5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50C"/>
    <w:pPr>
      <w:spacing w:after="200" w:line="276" w:lineRule="auto"/>
    </w:pPr>
    <w:rPr>
      <w:sz w:val="22"/>
      <w:szCs w:val="22"/>
    </w:rPr>
  </w:style>
  <w:style w:type="paragraph" w:styleId="Nagwek3">
    <w:name w:val="heading 3"/>
    <w:aliases w:val="1. wyliczenie"/>
    <w:basedOn w:val="Normalny"/>
    <w:next w:val="Normalny"/>
    <w:link w:val="Nagwek3Znak"/>
    <w:uiPriority w:val="9"/>
    <w:qFormat/>
    <w:rsid w:val="00D12994"/>
    <w:pPr>
      <w:spacing w:after="0" w:line="240" w:lineRule="auto"/>
      <w:jc w:val="both"/>
      <w:outlineLvl w:val="2"/>
    </w:pPr>
    <w:rPr>
      <w:rFonts w:ascii="Arial" w:eastAsia="Times New Roman" w:hAnsi="Arial"/>
      <w:sz w:val="2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5350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73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7354"/>
  </w:style>
  <w:style w:type="table" w:customStyle="1" w:styleId="Tabela-Siatka11">
    <w:name w:val="Tabela - Siatka11"/>
    <w:basedOn w:val="Standardowy"/>
    <w:next w:val="Tabela-Siatka"/>
    <w:uiPriority w:val="59"/>
    <w:rsid w:val="00AD735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D735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D735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AD735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59"/>
    <w:rsid w:val="00AD7354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D7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5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C68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rsid w:val="00530C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semiHidden/>
    <w:rsid w:val="00530C6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C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C68"/>
    <w:rPr>
      <w:b/>
      <w:bCs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4C38CC"/>
    <w:pPr>
      <w:ind w:left="720"/>
      <w:contextualSpacing/>
    </w:pPr>
  </w:style>
  <w:style w:type="paragraph" w:customStyle="1" w:styleId="Default">
    <w:name w:val="Default"/>
    <w:basedOn w:val="Normalny"/>
    <w:rsid w:val="00011F3C"/>
    <w:pPr>
      <w:autoSpaceDE w:val="0"/>
      <w:autoSpaceDN w:val="0"/>
      <w:spacing w:after="0" w:line="240" w:lineRule="auto"/>
    </w:pPr>
    <w:rPr>
      <w:rFonts w:eastAsiaTheme="minorHAnsi"/>
      <w:color w:val="000000"/>
      <w:sz w:val="24"/>
      <w:szCs w:val="24"/>
    </w:rPr>
  </w:style>
  <w:style w:type="paragraph" w:customStyle="1" w:styleId="ARTartustawynprozporzdzenia">
    <w:name w:val="ART(§) – art. ustawy (§ np. rozporządzenia)"/>
    <w:uiPriority w:val="99"/>
    <w:rsid w:val="00DF6B2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99"/>
    <w:rsid w:val="00DF6B2C"/>
    <w:pPr>
      <w:keepNext/>
      <w:suppressAutoHyphens/>
      <w:spacing w:before="120" w:line="360" w:lineRule="auto"/>
      <w:jc w:val="center"/>
    </w:pPr>
    <w:rPr>
      <w:rFonts w:ascii="Times" w:eastAsia="Times New Roman" w:hAnsi="Times"/>
      <w:b/>
      <w:bCs/>
      <w:sz w:val="24"/>
      <w:szCs w:val="24"/>
      <w:lang w:eastAsia="pl-PL"/>
    </w:rPr>
  </w:style>
  <w:style w:type="character" w:customStyle="1" w:styleId="TeksttreciKursywa">
    <w:name w:val="Tekst treści + Kursywa"/>
    <w:basedOn w:val="Domylnaczcionkaakapitu"/>
    <w:uiPriority w:val="99"/>
    <w:rsid w:val="00DF6B2C"/>
    <w:rPr>
      <w:rFonts w:ascii="Calibri" w:hAnsi="Calibri" w:cs="Times New Roman" w:hint="default"/>
      <w:i/>
      <w:iCs/>
      <w:spacing w:val="-10"/>
      <w:sz w:val="23"/>
      <w:szCs w:val="23"/>
      <w:lang w:bidi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70F8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70F88"/>
    <w:rPr>
      <w:rFonts w:ascii="Times New Roman" w:hAnsi="Times New Roman"/>
      <w:sz w:val="24"/>
      <w:szCs w:val="24"/>
    </w:rPr>
  </w:style>
  <w:style w:type="character" w:styleId="Odwoanieprzypisudolnego">
    <w:name w:val="footnote reference"/>
    <w:aliases w:val="Footnote Reference Number"/>
    <w:rsid w:val="00FA0296"/>
    <w:rPr>
      <w:rFonts w:cs="Times New Roman"/>
      <w:vertAlign w:val="superscript"/>
    </w:rPr>
  </w:style>
  <w:style w:type="character" w:customStyle="1" w:styleId="Nagwek3Znak">
    <w:name w:val="Nagłówek 3 Znak"/>
    <w:aliases w:val="1. wyliczenie Znak"/>
    <w:basedOn w:val="Domylnaczcionkaakapitu"/>
    <w:link w:val="Nagwek3"/>
    <w:uiPriority w:val="9"/>
    <w:rsid w:val="00D12994"/>
    <w:rPr>
      <w:rFonts w:ascii="Arial" w:eastAsia="Times New Roman" w:hAnsi="Arial"/>
      <w:szCs w:val="24"/>
      <w:lang w:val="x-none" w:eastAsia="x-none"/>
    </w:rPr>
  </w:style>
  <w:style w:type="paragraph" w:styleId="Poprawka">
    <w:name w:val="Revision"/>
    <w:hidden/>
    <w:uiPriority w:val="99"/>
    <w:semiHidden/>
    <w:rsid w:val="00042B91"/>
    <w:rPr>
      <w:sz w:val="22"/>
      <w:szCs w:val="22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E714EB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50C"/>
    <w:pPr>
      <w:spacing w:after="200" w:line="276" w:lineRule="auto"/>
    </w:pPr>
    <w:rPr>
      <w:sz w:val="22"/>
      <w:szCs w:val="22"/>
    </w:rPr>
  </w:style>
  <w:style w:type="paragraph" w:styleId="Nagwek3">
    <w:name w:val="heading 3"/>
    <w:aliases w:val="1. wyliczenie"/>
    <w:basedOn w:val="Normalny"/>
    <w:next w:val="Normalny"/>
    <w:link w:val="Nagwek3Znak"/>
    <w:uiPriority w:val="9"/>
    <w:qFormat/>
    <w:rsid w:val="00D12994"/>
    <w:pPr>
      <w:spacing w:after="0" w:line="240" w:lineRule="auto"/>
      <w:jc w:val="both"/>
      <w:outlineLvl w:val="2"/>
    </w:pPr>
    <w:rPr>
      <w:rFonts w:ascii="Arial" w:eastAsia="Times New Roman" w:hAnsi="Arial"/>
      <w:sz w:val="2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5350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73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7354"/>
  </w:style>
  <w:style w:type="table" w:customStyle="1" w:styleId="Tabela-Siatka11">
    <w:name w:val="Tabela - Siatka11"/>
    <w:basedOn w:val="Standardowy"/>
    <w:next w:val="Tabela-Siatka"/>
    <w:uiPriority w:val="59"/>
    <w:rsid w:val="00AD735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D735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D735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AD735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59"/>
    <w:rsid w:val="00AD7354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D7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5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C68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rsid w:val="00530C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semiHidden/>
    <w:rsid w:val="00530C6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C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C68"/>
    <w:rPr>
      <w:b/>
      <w:bCs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4C38CC"/>
    <w:pPr>
      <w:ind w:left="720"/>
      <w:contextualSpacing/>
    </w:pPr>
  </w:style>
  <w:style w:type="paragraph" w:customStyle="1" w:styleId="Default">
    <w:name w:val="Default"/>
    <w:basedOn w:val="Normalny"/>
    <w:rsid w:val="00011F3C"/>
    <w:pPr>
      <w:autoSpaceDE w:val="0"/>
      <w:autoSpaceDN w:val="0"/>
      <w:spacing w:after="0" w:line="240" w:lineRule="auto"/>
    </w:pPr>
    <w:rPr>
      <w:rFonts w:eastAsiaTheme="minorHAnsi"/>
      <w:color w:val="000000"/>
      <w:sz w:val="24"/>
      <w:szCs w:val="24"/>
    </w:rPr>
  </w:style>
  <w:style w:type="paragraph" w:customStyle="1" w:styleId="ARTartustawynprozporzdzenia">
    <w:name w:val="ART(§) – art. ustawy (§ np. rozporządzenia)"/>
    <w:uiPriority w:val="99"/>
    <w:rsid w:val="00DF6B2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99"/>
    <w:rsid w:val="00DF6B2C"/>
    <w:pPr>
      <w:keepNext/>
      <w:suppressAutoHyphens/>
      <w:spacing w:before="120" w:line="360" w:lineRule="auto"/>
      <w:jc w:val="center"/>
    </w:pPr>
    <w:rPr>
      <w:rFonts w:ascii="Times" w:eastAsia="Times New Roman" w:hAnsi="Times"/>
      <w:b/>
      <w:bCs/>
      <w:sz w:val="24"/>
      <w:szCs w:val="24"/>
      <w:lang w:eastAsia="pl-PL"/>
    </w:rPr>
  </w:style>
  <w:style w:type="character" w:customStyle="1" w:styleId="TeksttreciKursywa">
    <w:name w:val="Tekst treści + Kursywa"/>
    <w:basedOn w:val="Domylnaczcionkaakapitu"/>
    <w:uiPriority w:val="99"/>
    <w:rsid w:val="00DF6B2C"/>
    <w:rPr>
      <w:rFonts w:ascii="Calibri" w:hAnsi="Calibri" w:cs="Times New Roman" w:hint="default"/>
      <w:i/>
      <w:iCs/>
      <w:spacing w:val="-10"/>
      <w:sz w:val="23"/>
      <w:szCs w:val="23"/>
      <w:lang w:bidi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70F8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70F88"/>
    <w:rPr>
      <w:rFonts w:ascii="Times New Roman" w:hAnsi="Times New Roman"/>
      <w:sz w:val="24"/>
      <w:szCs w:val="24"/>
    </w:rPr>
  </w:style>
  <w:style w:type="character" w:styleId="Odwoanieprzypisudolnego">
    <w:name w:val="footnote reference"/>
    <w:aliases w:val="Footnote Reference Number"/>
    <w:rsid w:val="00FA0296"/>
    <w:rPr>
      <w:rFonts w:cs="Times New Roman"/>
      <w:vertAlign w:val="superscript"/>
    </w:rPr>
  </w:style>
  <w:style w:type="character" w:customStyle="1" w:styleId="Nagwek3Znak">
    <w:name w:val="Nagłówek 3 Znak"/>
    <w:aliases w:val="1. wyliczenie Znak"/>
    <w:basedOn w:val="Domylnaczcionkaakapitu"/>
    <w:link w:val="Nagwek3"/>
    <w:uiPriority w:val="9"/>
    <w:rsid w:val="00D12994"/>
    <w:rPr>
      <w:rFonts w:ascii="Arial" w:eastAsia="Times New Roman" w:hAnsi="Arial"/>
      <w:szCs w:val="24"/>
      <w:lang w:val="x-none" w:eastAsia="x-none"/>
    </w:rPr>
  </w:style>
  <w:style w:type="paragraph" w:styleId="Poprawka">
    <w:name w:val="Revision"/>
    <w:hidden/>
    <w:uiPriority w:val="99"/>
    <w:semiHidden/>
    <w:rsid w:val="00042B91"/>
    <w:rPr>
      <w:sz w:val="22"/>
      <w:szCs w:val="22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E714E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2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5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C7E5-1E66-467C-96FE-F0A9D6C6F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2101</Words>
  <Characters>12611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bopar</dc:creator>
  <cp:lastModifiedBy>mrdzen</cp:lastModifiedBy>
  <cp:revision>8</cp:revision>
  <cp:lastPrinted>2020-06-17T06:57:00Z</cp:lastPrinted>
  <dcterms:created xsi:type="dcterms:W3CDTF">2020-06-09T09:17:00Z</dcterms:created>
  <dcterms:modified xsi:type="dcterms:W3CDTF">2020-06-17T06:57:00Z</dcterms:modified>
</cp:coreProperties>
</file>